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0FE4" w14:textId="77777777" w:rsidR="00110EC8" w:rsidRPr="00110EC8" w:rsidRDefault="00110EC8" w:rsidP="00FE3565">
      <w:pPr>
        <w:rPr>
          <w:b/>
          <w:sz w:val="24"/>
          <w:szCs w:val="24"/>
          <w:u w:val="single"/>
        </w:rPr>
      </w:pPr>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79B11553" w:rsidR="00110EC8" w:rsidRPr="00A332DF" w:rsidRDefault="00CC7A13" w:rsidP="00FE3565">
      <w:pPr>
        <w:rPr>
          <w:b/>
          <w:sz w:val="24"/>
          <w:szCs w:val="24"/>
          <w:u w:val="single"/>
        </w:rPr>
      </w:pPr>
      <w:r>
        <w:rPr>
          <w:b/>
          <w:sz w:val="24"/>
          <w:szCs w:val="24"/>
          <w:u w:val="single"/>
        </w:rPr>
        <w:t>April 8</w:t>
      </w:r>
      <w:r w:rsidR="00711FEC">
        <w:rPr>
          <w:b/>
          <w:sz w:val="24"/>
          <w:szCs w:val="24"/>
          <w:u w:val="single"/>
        </w:rPr>
        <w:t>, 2019</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00DE293C" w14:textId="6D81C229" w:rsidR="00621D57" w:rsidRDefault="00711FEC" w:rsidP="00FE3565">
      <w:pPr>
        <w:rPr>
          <w:sz w:val="24"/>
          <w:szCs w:val="24"/>
        </w:rPr>
      </w:pPr>
      <w:r>
        <w:rPr>
          <w:sz w:val="24"/>
          <w:szCs w:val="24"/>
        </w:rPr>
        <w:t xml:space="preserve">ENDS </w:t>
      </w:r>
      <w:r w:rsidR="0005508E">
        <w:rPr>
          <w:sz w:val="24"/>
          <w:szCs w:val="24"/>
        </w:rPr>
        <w:t>5</w:t>
      </w:r>
      <w:r w:rsidR="00956D78" w:rsidRPr="00956D78">
        <w:t xml:space="preserve"> </w:t>
      </w:r>
    </w:p>
    <w:p w14:paraId="65E098AB" w14:textId="77777777" w:rsidR="00621D57" w:rsidRDefault="00621D57" w:rsidP="00FE3565">
      <w:pPr>
        <w:rPr>
          <w:sz w:val="24"/>
          <w:szCs w:val="24"/>
        </w:rPr>
      </w:pPr>
    </w:p>
    <w:p w14:paraId="3C5B8058" w14:textId="77777777" w:rsidR="00956D78" w:rsidRDefault="00956D78" w:rsidP="00234AA2">
      <w:pPr>
        <w:ind w:left="720"/>
        <w:rPr>
          <w:sz w:val="24"/>
          <w:szCs w:val="24"/>
        </w:rPr>
      </w:pPr>
      <w:r>
        <w:rPr>
          <w:sz w:val="24"/>
          <w:szCs w:val="24"/>
        </w:rPr>
        <w:t xml:space="preserve">5. </w:t>
      </w:r>
      <w:r w:rsidRPr="00956D78">
        <w:rPr>
          <w:sz w:val="24"/>
          <w:szCs w:val="24"/>
        </w:rPr>
        <w:t>Responding to the passion of Earth, St. Paul of the Cross Passionist Retreat and Conference Center embraces principles of integral ecology.</w:t>
      </w:r>
    </w:p>
    <w:p w14:paraId="3F12C11E" w14:textId="77777777" w:rsidR="00956D78" w:rsidRDefault="00956D78" w:rsidP="00234AA2">
      <w:pPr>
        <w:ind w:left="720"/>
        <w:rPr>
          <w:sz w:val="24"/>
          <w:szCs w:val="24"/>
        </w:rPr>
      </w:pPr>
    </w:p>
    <w:p w14:paraId="6671A01A" w14:textId="5A74CA34" w:rsidR="004C5B02" w:rsidRPr="004C5B02" w:rsidRDefault="00234AA2" w:rsidP="004C5B02">
      <w:pPr>
        <w:ind w:left="720"/>
        <w:rPr>
          <w:sz w:val="24"/>
          <w:szCs w:val="24"/>
        </w:rPr>
      </w:pPr>
      <w:r w:rsidRPr="00F20498">
        <w:rPr>
          <w:sz w:val="24"/>
          <w:szCs w:val="24"/>
          <w:u w:val="single"/>
        </w:rPr>
        <w:t>Reasonable interpretation</w:t>
      </w:r>
      <w:r w:rsidRPr="00F20498">
        <w:rPr>
          <w:sz w:val="24"/>
          <w:szCs w:val="24"/>
        </w:rPr>
        <w:t xml:space="preserve">:  </w:t>
      </w:r>
      <w:r w:rsidR="00E1466A">
        <w:rPr>
          <w:sz w:val="24"/>
          <w:szCs w:val="24"/>
        </w:rPr>
        <w:t xml:space="preserve">We understand our earth continues to be harmed through pollution, </w:t>
      </w:r>
      <w:r w:rsidR="009218D1">
        <w:rPr>
          <w:sz w:val="24"/>
          <w:szCs w:val="24"/>
        </w:rPr>
        <w:t xml:space="preserve">waste and misuse of our natural resources.  All things are connected </w:t>
      </w:r>
      <w:r w:rsidR="004C5B02">
        <w:rPr>
          <w:sz w:val="24"/>
          <w:szCs w:val="24"/>
        </w:rPr>
        <w:t>and it is our responsibility to do our part in safeguarding our “common home.”</w:t>
      </w:r>
    </w:p>
    <w:p w14:paraId="768B45D0" w14:textId="77777777" w:rsidR="004C5B02" w:rsidRDefault="004C5B02" w:rsidP="004C5B02">
      <w:pPr>
        <w:ind w:left="720"/>
        <w:rPr>
          <w:sz w:val="24"/>
          <w:szCs w:val="24"/>
        </w:rPr>
      </w:pPr>
    </w:p>
    <w:p w14:paraId="2A9790DB" w14:textId="577B2582" w:rsidR="004C5B02" w:rsidRPr="004C5B02" w:rsidRDefault="004C5B02" w:rsidP="004C5B02">
      <w:pPr>
        <w:ind w:left="720"/>
        <w:rPr>
          <w:sz w:val="24"/>
          <w:szCs w:val="24"/>
        </w:rPr>
      </w:pPr>
      <w:r w:rsidRPr="004C5B02">
        <w:rPr>
          <w:sz w:val="24"/>
          <w:szCs w:val="24"/>
        </w:rPr>
        <w:t xml:space="preserve"> “</w:t>
      </w:r>
      <w:r w:rsidR="00B75099">
        <w:rPr>
          <w:sz w:val="24"/>
          <w:szCs w:val="24"/>
        </w:rPr>
        <w:t>I</w:t>
      </w:r>
      <w:r w:rsidRPr="004C5B02">
        <w:rPr>
          <w:sz w:val="24"/>
          <w:szCs w:val="24"/>
        </w:rPr>
        <w:t>ntegral ecology begins with the recognition that humanity now faces existential crises on multiple fronts: extreme economic disparity, increased competition for resources including land and water, a severely degraded natural world, failing nation states, and a climate on the verge of spinning out of control.</w:t>
      </w:r>
    </w:p>
    <w:p w14:paraId="36EE5A4E" w14:textId="79C05113" w:rsidR="004C5B02" w:rsidRDefault="004C5B02" w:rsidP="004C5B02">
      <w:pPr>
        <w:ind w:left="720"/>
        <w:rPr>
          <w:sz w:val="24"/>
          <w:szCs w:val="24"/>
        </w:rPr>
      </w:pPr>
      <w:r>
        <w:rPr>
          <w:sz w:val="24"/>
          <w:szCs w:val="24"/>
        </w:rPr>
        <w:t>The ‘integral’</w:t>
      </w:r>
      <w:r w:rsidRPr="004C5B02">
        <w:rPr>
          <w:sz w:val="24"/>
          <w:szCs w:val="24"/>
        </w:rPr>
        <w:t xml:space="preserve"> in integral ecology is what’s new. It realizes that these crises are not independent, but closely intertwined</w:t>
      </w:r>
      <w:r>
        <w:rPr>
          <w:sz w:val="24"/>
          <w:szCs w:val="24"/>
        </w:rPr>
        <w:t xml:space="preserve">”  </w:t>
      </w:r>
      <w:r w:rsidR="00B75099">
        <w:rPr>
          <w:sz w:val="24"/>
          <w:szCs w:val="24"/>
        </w:rPr>
        <w:t xml:space="preserve"> </w:t>
      </w:r>
    </w:p>
    <w:p w14:paraId="260282ED" w14:textId="77777777" w:rsidR="009043A6" w:rsidRDefault="009043A6" w:rsidP="004C5B02">
      <w:pPr>
        <w:ind w:left="720"/>
        <w:rPr>
          <w:sz w:val="24"/>
          <w:szCs w:val="24"/>
        </w:rPr>
      </w:pPr>
    </w:p>
    <w:p w14:paraId="2A5AD594" w14:textId="7665C929" w:rsidR="00B75099" w:rsidRPr="004C5B02" w:rsidRDefault="00B75099" w:rsidP="004C5B02">
      <w:pPr>
        <w:ind w:left="720"/>
        <w:rPr>
          <w:sz w:val="24"/>
          <w:szCs w:val="24"/>
        </w:rPr>
      </w:pPr>
      <w:r>
        <w:rPr>
          <w:sz w:val="24"/>
          <w:szCs w:val="24"/>
        </w:rPr>
        <w:t>Compliance to this policy is to keep in mind this perspective when considering purchases/spending for the retreat center</w:t>
      </w:r>
      <w:r w:rsidR="008F5801">
        <w:rPr>
          <w:sz w:val="24"/>
          <w:szCs w:val="24"/>
        </w:rPr>
        <w:t xml:space="preserve"> as well as day to day habits</w:t>
      </w:r>
      <w:r>
        <w:rPr>
          <w:sz w:val="24"/>
          <w:szCs w:val="24"/>
        </w:rPr>
        <w:t xml:space="preserve">. As it is feasible and practical within the means of the retreat center we will look for ways to conserve natural resources and be good stewards.  This summer when faced with a crisis in our parking lot, we considered pervious pavement options knowing the water run off would be less </w:t>
      </w:r>
      <w:r>
        <w:rPr>
          <w:sz w:val="24"/>
          <w:szCs w:val="24"/>
        </w:rPr>
        <w:lastRenderedPageBreak/>
        <w:t xml:space="preserve">and more helpful for the city drainage issue.  When looking at a small portion of our parking lot, the estimate was two million dollars.  While it was not feasible at this time, we keep those </w:t>
      </w:r>
      <w:r w:rsidR="008F5801">
        <w:rPr>
          <w:sz w:val="24"/>
          <w:szCs w:val="24"/>
        </w:rPr>
        <w:t xml:space="preserve">types of </w:t>
      </w:r>
      <w:r>
        <w:rPr>
          <w:sz w:val="24"/>
          <w:szCs w:val="24"/>
        </w:rPr>
        <w:t>options on the table each day.  This fiscal year we installed new high efficiency boilers, continued converting from florescent and incandescent bulbs to LED and changed sourcing for our disposable cups</w:t>
      </w:r>
      <w:r w:rsidR="0072764F">
        <w:rPr>
          <w:sz w:val="24"/>
          <w:szCs w:val="24"/>
        </w:rPr>
        <w:t xml:space="preserve"> with lids</w:t>
      </w:r>
      <w:r>
        <w:rPr>
          <w:sz w:val="24"/>
          <w:szCs w:val="24"/>
        </w:rPr>
        <w:t xml:space="preserve">.  We continue to recycle and encourage others to do so, we installed a rain garden in collaboration with the </w:t>
      </w:r>
      <w:r w:rsidR="0072764F">
        <w:rPr>
          <w:sz w:val="24"/>
          <w:szCs w:val="24"/>
        </w:rPr>
        <w:t xml:space="preserve">Friends of the </w:t>
      </w:r>
      <w:r>
        <w:rPr>
          <w:sz w:val="24"/>
          <w:szCs w:val="24"/>
        </w:rPr>
        <w:t xml:space="preserve">Rouge </w:t>
      </w:r>
      <w:r w:rsidR="0072764F">
        <w:rPr>
          <w:sz w:val="24"/>
          <w:szCs w:val="24"/>
        </w:rPr>
        <w:t xml:space="preserve">to reduce drainage and runoff from our roof.  </w:t>
      </w:r>
      <w:r w:rsidR="00F644EB">
        <w:rPr>
          <w:sz w:val="24"/>
          <w:szCs w:val="24"/>
        </w:rPr>
        <w:t>We are working with the National Wildlife Federation in their sacred grounds program which provides concrete tools for increasing native plant habitats and gardens to combat the pollinator decline and nutrient runoff.</w:t>
      </w:r>
      <w:r w:rsidR="00D200F5">
        <w:rPr>
          <w:sz w:val="24"/>
          <w:szCs w:val="24"/>
        </w:rPr>
        <w:t xml:space="preserve">  We’ve planted trees to replace any harmed in the storms and continue to look for ways to conserve our resources.  Below is a chart of the usage for natural gas and electricity for a few select months the past three years.  This shows the impact of the higher efficiency purchases.</w:t>
      </w:r>
      <w:r w:rsidR="00893B3E">
        <w:rPr>
          <w:sz w:val="24"/>
          <w:szCs w:val="24"/>
        </w:rPr>
        <w:t xml:space="preserve">  We are in compliance with this policy.</w:t>
      </w:r>
    </w:p>
    <w:p w14:paraId="5598A620" w14:textId="17F7AD64" w:rsidR="00082E5A" w:rsidRDefault="00082E5A" w:rsidP="00F20498">
      <w:pPr>
        <w:ind w:firstLine="720"/>
        <w:rPr>
          <w:rFonts w:ascii="Arial" w:eastAsiaTheme="minorHAnsi" w:hAnsi="Arial" w:cs="Arial"/>
          <w:sz w:val="22"/>
          <w:szCs w:val="22"/>
        </w:rPr>
      </w:pPr>
      <w:r>
        <w:rPr>
          <w:sz w:val="24"/>
          <w:szCs w:val="24"/>
        </w:rPr>
        <w:fldChar w:fldCharType="begin"/>
      </w:r>
      <w:r>
        <w:rPr>
          <w:sz w:val="24"/>
          <w:szCs w:val="24"/>
        </w:rPr>
        <w:instrText xml:space="preserve"> LINK </w:instrText>
      </w:r>
      <w:r w:rsidR="00E17A6F">
        <w:rPr>
          <w:sz w:val="24"/>
          <w:szCs w:val="24"/>
        </w:rPr>
        <w:instrText xml:space="preserve">Excel.Sheet.12 "\\\\Stpaul-svr1\\Users Shared Folders\\sarnould\\Board\\2018-2019\\Monitoring Reports\\Gas-Elec 2016-2018.xlsx" Sheet1!R1C1:R14C6 </w:instrText>
      </w:r>
      <w:r>
        <w:rPr>
          <w:sz w:val="24"/>
          <w:szCs w:val="24"/>
        </w:rPr>
        <w:instrText xml:space="preserve">\a \f 5 \h  \* MERGEFORMAT </w:instrText>
      </w:r>
      <w:r>
        <w:rPr>
          <w:sz w:val="24"/>
          <w:szCs w:val="24"/>
        </w:rPr>
        <w:fldChar w:fldCharType="separate"/>
      </w:r>
    </w:p>
    <w:tbl>
      <w:tblPr>
        <w:tblStyle w:val="TableGrid"/>
        <w:tblW w:w="7505" w:type="dxa"/>
        <w:tblInd w:w="919" w:type="dxa"/>
        <w:tblLook w:val="04A0" w:firstRow="1" w:lastRow="0" w:firstColumn="1" w:lastColumn="0" w:noHBand="0" w:noVBand="1"/>
      </w:tblPr>
      <w:tblGrid>
        <w:gridCol w:w="2003"/>
        <w:gridCol w:w="1590"/>
        <w:gridCol w:w="380"/>
        <w:gridCol w:w="1536"/>
        <w:gridCol w:w="460"/>
        <w:gridCol w:w="1536"/>
      </w:tblGrid>
      <w:tr w:rsidR="00082E5A" w:rsidRPr="00082E5A" w14:paraId="3F797645" w14:textId="77777777" w:rsidTr="008F5801">
        <w:trPr>
          <w:trHeight w:val="360"/>
        </w:trPr>
        <w:tc>
          <w:tcPr>
            <w:tcW w:w="2003" w:type="dxa"/>
            <w:noWrap/>
            <w:hideMark/>
          </w:tcPr>
          <w:p w14:paraId="08902F0E" w14:textId="77777777" w:rsidR="00082E5A" w:rsidRPr="00082E5A" w:rsidRDefault="00082E5A" w:rsidP="00082E5A">
            <w:pPr>
              <w:ind w:firstLine="720"/>
              <w:rPr>
                <w:b/>
                <w:bCs/>
                <w:sz w:val="24"/>
                <w:szCs w:val="24"/>
                <w:u w:val="single"/>
              </w:rPr>
            </w:pPr>
            <w:r w:rsidRPr="00082E5A">
              <w:rPr>
                <w:b/>
                <w:bCs/>
                <w:sz w:val="24"/>
                <w:szCs w:val="24"/>
                <w:u w:val="single"/>
              </w:rPr>
              <w:t>Gas</w:t>
            </w:r>
          </w:p>
        </w:tc>
        <w:tc>
          <w:tcPr>
            <w:tcW w:w="1590" w:type="dxa"/>
            <w:noWrap/>
            <w:hideMark/>
          </w:tcPr>
          <w:p w14:paraId="1E69D932" w14:textId="77777777" w:rsidR="00082E5A" w:rsidRPr="00082E5A" w:rsidRDefault="00082E5A" w:rsidP="00082E5A">
            <w:pPr>
              <w:ind w:firstLine="720"/>
              <w:rPr>
                <w:b/>
                <w:bCs/>
                <w:sz w:val="24"/>
                <w:szCs w:val="24"/>
              </w:rPr>
            </w:pPr>
            <w:r w:rsidRPr="00082E5A">
              <w:rPr>
                <w:b/>
                <w:bCs/>
                <w:sz w:val="24"/>
                <w:szCs w:val="24"/>
              </w:rPr>
              <w:t>2016</w:t>
            </w:r>
          </w:p>
        </w:tc>
        <w:tc>
          <w:tcPr>
            <w:tcW w:w="380" w:type="dxa"/>
            <w:noWrap/>
            <w:hideMark/>
          </w:tcPr>
          <w:p w14:paraId="5DBE13FA" w14:textId="77777777" w:rsidR="00082E5A" w:rsidRPr="00082E5A" w:rsidRDefault="00082E5A" w:rsidP="00082E5A">
            <w:pPr>
              <w:ind w:firstLine="720"/>
              <w:rPr>
                <w:b/>
                <w:bCs/>
                <w:sz w:val="24"/>
                <w:szCs w:val="24"/>
              </w:rPr>
            </w:pPr>
          </w:p>
        </w:tc>
        <w:tc>
          <w:tcPr>
            <w:tcW w:w="1536" w:type="dxa"/>
            <w:noWrap/>
            <w:hideMark/>
          </w:tcPr>
          <w:p w14:paraId="60113C3A" w14:textId="77777777" w:rsidR="00082E5A" w:rsidRPr="00082E5A" w:rsidRDefault="00082E5A" w:rsidP="00082E5A">
            <w:pPr>
              <w:ind w:firstLine="720"/>
              <w:rPr>
                <w:b/>
                <w:bCs/>
                <w:sz w:val="24"/>
                <w:szCs w:val="24"/>
              </w:rPr>
            </w:pPr>
            <w:r w:rsidRPr="00082E5A">
              <w:rPr>
                <w:b/>
                <w:bCs/>
                <w:sz w:val="24"/>
                <w:szCs w:val="24"/>
              </w:rPr>
              <w:t>2017</w:t>
            </w:r>
          </w:p>
        </w:tc>
        <w:tc>
          <w:tcPr>
            <w:tcW w:w="460" w:type="dxa"/>
            <w:noWrap/>
            <w:hideMark/>
          </w:tcPr>
          <w:p w14:paraId="1040782E" w14:textId="77777777" w:rsidR="00082E5A" w:rsidRPr="00082E5A" w:rsidRDefault="00082E5A" w:rsidP="00082E5A">
            <w:pPr>
              <w:ind w:firstLine="720"/>
              <w:rPr>
                <w:b/>
                <w:bCs/>
                <w:sz w:val="24"/>
                <w:szCs w:val="24"/>
              </w:rPr>
            </w:pPr>
          </w:p>
        </w:tc>
        <w:tc>
          <w:tcPr>
            <w:tcW w:w="1536" w:type="dxa"/>
            <w:noWrap/>
            <w:hideMark/>
          </w:tcPr>
          <w:p w14:paraId="144F40E6" w14:textId="77777777" w:rsidR="00082E5A" w:rsidRPr="00082E5A" w:rsidRDefault="00082E5A" w:rsidP="00082E5A">
            <w:pPr>
              <w:ind w:firstLine="720"/>
              <w:rPr>
                <w:b/>
                <w:bCs/>
                <w:sz w:val="24"/>
                <w:szCs w:val="24"/>
              </w:rPr>
            </w:pPr>
            <w:r w:rsidRPr="00082E5A">
              <w:rPr>
                <w:b/>
                <w:bCs/>
                <w:sz w:val="24"/>
                <w:szCs w:val="24"/>
              </w:rPr>
              <w:t>2018</w:t>
            </w:r>
          </w:p>
        </w:tc>
      </w:tr>
      <w:tr w:rsidR="00082E5A" w:rsidRPr="00082E5A" w14:paraId="42FBC9F9" w14:textId="77777777" w:rsidTr="008F5801">
        <w:trPr>
          <w:trHeight w:val="252"/>
        </w:trPr>
        <w:tc>
          <w:tcPr>
            <w:tcW w:w="2003" w:type="dxa"/>
            <w:noWrap/>
            <w:hideMark/>
          </w:tcPr>
          <w:p w14:paraId="31BB102E" w14:textId="5243D6A8" w:rsidR="00082E5A" w:rsidRPr="00082E5A" w:rsidRDefault="00082E5A" w:rsidP="00082E5A">
            <w:pPr>
              <w:ind w:firstLine="720"/>
              <w:rPr>
                <w:b/>
                <w:bCs/>
                <w:sz w:val="24"/>
                <w:szCs w:val="24"/>
              </w:rPr>
            </w:pPr>
          </w:p>
        </w:tc>
        <w:tc>
          <w:tcPr>
            <w:tcW w:w="1590" w:type="dxa"/>
            <w:noWrap/>
            <w:hideMark/>
          </w:tcPr>
          <w:p w14:paraId="706889C0" w14:textId="2ECB8F43" w:rsidR="00082E5A" w:rsidRPr="00D200F5" w:rsidRDefault="00D200F5" w:rsidP="00082E5A">
            <w:pPr>
              <w:ind w:firstLine="720"/>
              <w:rPr>
                <w:b/>
                <w:sz w:val="24"/>
                <w:szCs w:val="24"/>
              </w:rPr>
            </w:pPr>
            <w:r w:rsidRPr="00D200F5">
              <w:rPr>
                <w:b/>
                <w:sz w:val="24"/>
                <w:szCs w:val="24"/>
              </w:rPr>
              <w:t>CCF's</w:t>
            </w:r>
          </w:p>
        </w:tc>
        <w:tc>
          <w:tcPr>
            <w:tcW w:w="380" w:type="dxa"/>
            <w:noWrap/>
            <w:hideMark/>
          </w:tcPr>
          <w:p w14:paraId="7579912B" w14:textId="77777777" w:rsidR="00082E5A" w:rsidRPr="00082E5A" w:rsidRDefault="00082E5A" w:rsidP="00082E5A">
            <w:pPr>
              <w:ind w:firstLine="720"/>
              <w:rPr>
                <w:sz w:val="24"/>
                <w:szCs w:val="24"/>
              </w:rPr>
            </w:pPr>
          </w:p>
        </w:tc>
        <w:tc>
          <w:tcPr>
            <w:tcW w:w="1536" w:type="dxa"/>
            <w:noWrap/>
            <w:hideMark/>
          </w:tcPr>
          <w:p w14:paraId="53C319BA" w14:textId="77777777" w:rsidR="00082E5A" w:rsidRPr="00082E5A" w:rsidRDefault="00082E5A" w:rsidP="00082E5A">
            <w:pPr>
              <w:ind w:firstLine="720"/>
              <w:rPr>
                <w:sz w:val="24"/>
                <w:szCs w:val="24"/>
              </w:rPr>
            </w:pPr>
          </w:p>
        </w:tc>
        <w:tc>
          <w:tcPr>
            <w:tcW w:w="460" w:type="dxa"/>
            <w:noWrap/>
            <w:hideMark/>
          </w:tcPr>
          <w:p w14:paraId="7EBEDF31" w14:textId="77777777" w:rsidR="00082E5A" w:rsidRPr="00082E5A" w:rsidRDefault="00082E5A" w:rsidP="00082E5A">
            <w:pPr>
              <w:ind w:firstLine="720"/>
              <w:rPr>
                <w:sz w:val="24"/>
                <w:szCs w:val="24"/>
              </w:rPr>
            </w:pPr>
          </w:p>
        </w:tc>
        <w:tc>
          <w:tcPr>
            <w:tcW w:w="1536" w:type="dxa"/>
            <w:noWrap/>
            <w:hideMark/>
          </w:tcPr>
          <w:p w14:paraId="7B8546D8" w14:textId="77777777" w:rsidR="00082E5A" w:rsidRPr="00082E5A" w:rsidRDefault="00082E5A" w:rsidP="00082E5A">
            <w:pPr>
              <w:ind w:firstLine="720"/>
              <w:rPr>
                <w:sz w:val="24"/>
                <w:szCs w:val="24"/>
              </w:rPr>
            </w:pPr>
          </w:p>
        </w:tc>
      </w:tr>
      <w:tr w:rsidR="00082E5A" w:rsidRPr="00082E5A" w14:paraId="5BA17A96" w14:textId="77777777" w:rsidTr="008F5801">
        <w:trPr>
          <w:trHeight w:val="288"/>
        </w:trPr>
        <w:tc>
          <w:tcPr>
            <w:tcW w:w="2003" w:type="dxa"/>
            <w:noWrap/>
            <w:hideMark/>
          </w:tcPr>
          <w:p w14:paraId="508038E3" w14:textId="77777777" w:rsidR="00082E5A" w:rsidRPr="00082E5A" w:rsidRDefault="00082E5A" w:rsidP="00082E5A">
            <w:pPr>
              <w:ind w:firstLine="720"/>
              <w:rPr>
                <w:b/>
                <w:bCs/>
                <w:sz w:val="24"/>
                <w:szCs w:val="24"/>
              </w:rPr>
            </w:pPr>
            <w:r w:rsidRPr="00082E5A">
              <w:rPr>
                <w:b/>
                <w:bCs/>
                <w:sz w:val="24"/>
                <w:szCs w:val="24"/>
              </w:rPr>
              <w:t>Oct - Nov</w:t>
            </w:r>
          </w:p>
        </w:tc>
        <w:tc>
          <w:tcPr>
            <w:tcW w:w="1590" w:type="dxa"/>
            <w:noWrap/>
            <w:hideMark/>
          </w:tcPr>
          <w:p w14:paraId="621337BA" w14:textId="77777777" w:rsidR="00082E5A" w:rsidRPr="00082E5A" w:rsidRDefault="00082E5A" w:rsidP="00082E5A">
            <w:pPr>
              <w:ind w:firstLine="720"/>
              <w:rPr>
                <w:sz w:val="24"/>
                <w:szCs w:val="24"/>
              </w:rPr>
            </w:pPr>
            <w:r w:rsidRPr="00082E5A">
              <w:rPr>
                <w:sz w:val="24"/>
                <w:szCs w:val="24"/>
              </w:rPr>
              <w:t>2887</w:t>
            </w:r>
          </w:p>
        </w:tc>
        <w:tc>
          <w:tcPr>
            <w:tcW w:w="380" w:type="dxa"/>
            <w:noWrap/>
            <w:hideMark/>
          </w:tcPr>
          <w:p w14:paraId="164DBD8E" w14:textId="77777777" w:rsidR="00082E5A" w:rsidRPr="00082E5A" w:rsidRDefault="00082E5A" w:rsidP="00082E5A">
            <w:pPr>
              <w:ind w:firstLine="720"/>
              <w:rPr>
                <w:sz w:val="24"/>
                <w:szCs w:val="24"/>
              </w:rPr>
            </w:pPr>
          </w:p>
        </w:tc>
        <w:tc>
          <w:tcPr>
            <w:tcW w:w="1536" w:type="dxa"/>
            <w:noWrap/>
            <w:hideMark/>
          </w:tcPr>
          <w:p w14:paraId="3F6DA20A" w14:textId="77777777" w:rsidR="00082E5A" w:rsidRPr="00082E5A" w:rsidRDefault="00082E5A" w:rsidP="00082E5A">
            <w:pPr>
              <w:ind w:firstLine="720"/>
              <w:rPr>
                <w:sz w:val="24"/>
                <w:szCs w:val="24"/>
              </w:rPr>
            </w:pPr>
            <w:r w:rsidRPr="00082E5A">
              <w:rPr>
                <w:sz w:val="24"/>
                <w:szCs w:val="24"/>
              </w:rPr>
              <w:t>9006</w:t>
            </w:r>
          </w:p>
        </w:tc>
        <w:tc>
          <w:tcPr>
            <w:tcW w:w="460" w:type="dxa"/>
            <w:noWrap/>
            <w:hideMark/>
          </w:tcPr>
          <w:p w14:paraId="6BEE2EF9" w14:textId="77777777" w:rsidR="00082E5A" w:rsidRPr="00082E5A" w:rsidRDefault="00082E5A" w:rsidP="00082E5A">
            <w:pPr>
              <w:ind w:firstLine="720"/>
              <w:rPr>
                <w:sz w:val="24"/>
                <w:szCs w:val="24"/>
              </w:rPr>
            </w:pPr>
          </w:p>
        </w:tc>
        <w:tc>
          <w:tcPr>
            <w:tcW w:w="1536" w:type="dxa"/>
            <w:noWrap/>
            <w:hideMark/>
          </w:tcPr>
          <w:p w14:paraId="2B8D0264" w14:textId="77777777" w:rsidR="00082E5A" w:rsidRPr="00082E5A" w:rsidRDefault="00082E5A" w:rsidP="00082E5A">
            <w:pPr>
              <w:ind w:firstLine="720"/>
              <w:rPr>
                <w:sz w:val="24"/>
                <w:szCs w:val="24"/>
              </w:rPr>
            </w:pPr>
            <w:r w:rsidRPr="00082E5A">
              <w:rPr>
                <w:sz w:val="24"/>
                <w:szCs w:val="24"/>
              </w:rPr>
              <w:t>3426</w:t>
            </w:r>
          </w:p>
        </w:tc>
      </w:tr>
      <w:tr w:rsidR="00082E5A" w:rsidRPr="00082E5A" w14:paraId="2ED225F9" w14:textId="77777777" w:rsidTr="008F5801">
        <w:trPr>
          <w:trHeight w:val="288"/>
        </w:trPr>
        <w:tc>
          <w:tcPr>
            <w:tcW w:w="2003" w:type="dxa"/>
            <w:noWrap/>
            <w:hideMark/>
          </w:tcPr>
          <w:p w14:paraId="5CE8B88A" w14:textId="77777777" w:rsidR="00082E5A" w:rsidRPr="00082E5A" w:rsidRDefault="00082E5A" w:rsidP="00082E5A">
            <w:pPr>
              <w:ind w:firstLine="720"/>
              <w:rPr>
                <w:b/>
                <w:bCs/>
                <w:sz w:val="24"/>
                <w:szCs w:val="24"/>
              </w:rPr>
            </w:pPr>
            <w:r w:rsidRPr="00082E5A">
              <w:rPr>
                <w:b/>
                <w:bCs/>
                <w:sz w:val="24"/>
                <w:szCs w:val="24"/>
              </w:rPr>
              <w:t>Nov-Dec</w:t>
            </w:r>
          </w:p>
        </w:tc>
        <w:tc>
          <w:tcPr>
            <w:tcW w:w="1590" w:type="dxa"/>
            <w:noWrap/>
            <w:hideMark/>
          </w:tcPr>
          <w:p w14:paraId="66FC5D1F" w14:textId="77777777" w:rsidR="00082E5A" w:rsidRPr="00082E5A" w:rsidRDefault="00082E5A" w:rsidP="00082E5A">
            <w:pPr>
              <w:ind w:firstLine="720"/>
              <w:rPr>
                <w:sz w:val="24"/>
                <w:szCs w:val="24"/>
              </w:rPr>
            </w:pPr>
            <w:r w:rsidRPr="00082E5A">
              <w:rPr>
                <w:sz w:val="24"/>
                <w:szCs w:val="24"/>
              </w:rPr>
              <w:t>5181</w:t>
            </w:r>
          </w:p>
        </w:tc>
        <w:tc>
          <w:tcPr>
            <w:tcW w:w="380" w:type="dxa"/>
            <w:noWrap/>
            <w:hideMark/>
          </w:tcPr>
          <w:p w14:paraId="7A8D6A0A" w14:textId="77777777" w:rsidR="00082E5A" w:rsidRPr="00082E5A" w:rsidRDefault="00082E5A" w:rsidP="00082E5A">
            <w:pPr>
              <w:ind w:firstLine="720"/>
              <w:rPr>
                <w:sz w:val="24"/>
                <w:szCs w:val="24"/>
              </w:rPr>
            </w:pPr>
          </w:p>
        </w:tc>
        <w:tc>
          <w:tcPr>
            <w:tcW w:w="1536" w:type="dxa"/>
            <w:noWrap/>
            <w:hideMark/>
          </w:tcPr>
          <w:p w14:paraId="1E2A0489" w14:textId="77777777" w:rsidR="00082E5A" w:rsidRPr="00082E5A" w:rsidRDefault="00082E5A" w:rsidP="00082E5A">
            <w:pPr>
              <w:ind w:firstLine="720"/>
              <w:rPr>
                <w:sz w:val="24"/>
                <w:szCs w:val="24"/>
              </w:rPr>
            </w:pPr>
            <w:r w:rsidRPr="00082E5A">
              <w:rPr>
                <w:sz w:val="24"/>
                <w:szCs w:val="24"/>
              </w:rPr>
              <w:t>6167</w:t>
            </w:r>
          </w:p>
        </w:tc>
        <w:tc>
          <w:tcPr>
            <w:tcW w:w="460" w:type="dxa"/>
            <w:noWrap/>
            <w:hideMark/>
          </w:tcPr>
          <w:p w14:paraId="4CFCBBD5" w14:textId="77777777" w:rsidR="00082E5A" w:rsidRPr="00082E5A" w:rsidRDefault="00082E5A" w:rsidP="00082E5A">
            <w:pPr>
              <w:ind w:firstLine="720"/>
              <w:rPr>
                <w:sz w:val="24"/>
                <w:szCs w:val="24"/>
              </w:rPr>
            </w:pPr>
          </w:p>
        </w:tc>
        <w:tc>
          <w:tcPr>
            <w:tcW w:w="1536" w:type="dxa"/>
            <w:noWrap/>
            <w:hideMark/>
          </w:tcPr>
          <w:p w14:paraId="16BEBFD6" w14:textId="77777777" w:rsidR="00082E5A" w:rsidRPr="00082E5A" w:rsidRDefault="00082E5A" w:rsidP="00082E5A">
            <w:pPr>
              <w:ind w:firstLine="720"/>
              <w:rPr>
                <w:sz w:val="24"/>
                <w:szCs w:val="24"/>
              </w:rPr>
            </w:pPr>
            <w:r w:rsidRPr="00082E5A">
              <w:rPr>
                <w:sz w:val="24"/>
                <w:szCs w:val="24"/>
              </w:rPr>
              <w:t>4695</w:t>
            </w:r>
          </w:p>
        </w:tc>
      </w:tr>
      <w:tr w:rsidR="00082E5A" w:rsidRPr="00082E5A" w14:paraId="5A591EB6" w14:textId="77777777" w:rsidTr="008F5801">
        <w:trPr>
          <w:trHeight w:val="288"/>
        </w:trPr>
        <w:tc>
          <w:tcPr>
            <w:tcW w:w="2003" w:type="dxa"/>
            <w:noWrap/>
            <w:hideMark/>
          </w:tcPr>
          <w:p w14:paraId="4F0781E5" w14:textId="77777777" w:rsidR="00082E5A" w:rsidRPr="00082E5A" w:rsidRDefault="00082E5A" w:rsidP="00082E5A">
            <w:pPr>
              <w:ind w:firstLine="720"/>
              <w:rPr>
                <w:b/>
                <w:bCs/>
                <w:sz w:val="24"/>
                <w:szCs w:val="24"/>
              </w:rPr>
            </w:pPr>
            <w:r w:rsidRPr="00082E5A">
              <w:rPr>
                <w:b/>
                <w:bCs/>
                <w:sz w:val="24"/>
                <w:szCs w:val="24"/>
              </w:rPr>
              <w:t>Dec-Jan</w:t>
            </w:r>
          </w:p>
        </w:tc>
        <w:tc>
          <w:tcPr>
            <w:tcW w:w="1590" w:type="dxa"/>
            <w:noWrap/>
            <w:hideMark/>
          </w:tcPr>
          <w:p w14:paraId="6E0F101F" w14:textId="77777777" w:rsidR="00082E5A" w:rsidRPr="00082E5A" w:rsidRDefault="00082E5A" w:rsidP="00082E5A">
            <w:pPr>
              <w:ind w:firstLine="720"/>
              <w:rPr>
                <w:sz w:val="24"/>
                <w:szCs w:val="24"/>
              </w:rPr>
            </w:pPr>
            <w:r w:rsidRPr="00082E5A">
              <w:rPr>
                <w:sz w:val="24"/>
                <w:szCs w:val="24"/>
              </w:rPr>
              <w:t>8022</w:t>
            </w:r>
          </w:p>
        </w:tc>
        <w:tc>
          <w:tcPr>
            <w:tcW w:w="380" w:type="dxa"/>
            <w:noWrap/>
            <w:hideMark/>
          </w:tcPr>
          <w:p w14:paraId="52EA5E9C" w14:textId="77777777" w:rsidR="00082E5A" w:rsidRPr="00082E5A" w:rsidRDefault="00082E5A" w:rsidP="00082E5A">
            <w:pPr>
              <w:ind w:firstLine="720"/>
              <w:rPr>
                <w:sz w:val="24"/>
                <w:szCs w:val="24"/>
              </w:rPr>
            </w:pPr>
          </w:p>
        </w:tc>
        <w:tc>
          <w:tcPr>
            <w:tcW w:w="1536" w:type="dxa"/>
            <w:noWrap/>
            <w:hideMark/>
          </w:tcPr>
          <w:p w14:paraId="043C6F80" w14:textId="77777777" w:rsidR="00082E5A" w:rsidRPr="00082E5A" w:rsidRDefault="00082E5A" w:rsidP="00082E5A">
            <w:pPr>
              <w:ind w:firstLine="720"/>
              <w:rPr>
                <w:sz w:val="24"/>
                <w:szCs w:val="24"/>
              </w:rPr>
            </w:pPr>
            <w:r w:rsidRPr="00082E5A">
              <w:rPr>
                <w:sz w:val="24"/>
                <w:szCs w:val="24"/>
              </w:rPr>
              <w:t>6653</w:t>
            </w:r>
          </w:p>
        </w:tc>
        <w:tc>
          <w:tcPr>
            <w:tcW w:w="460" w:type="dxa"/>
            <w:noWrap/>
            <w:hideMark/>
          </w:tcPr>
          <w:p w14:paraId="1D8E3966" w14:textId="77777777" w:rsidR="00082E5A" w:rsidRPr="00082E5A" w:rsidRDefault="00082E5A" w:rsidP="00082E5A">
            <w:pPr>
              <w:ind w:firstLine="720"/>
              <w:rPr>
                <w:sz w:val="24"/>
                <w:szCs w:val="24"/>
              </w:rPr>
            </w:pPr>
          </w:p>
        </w:tc>
        <w:tc>
          <w:tcPr>
            <w:tcW w:w="1536" w:type="dxa"/>
            <w:noWrap/>
            <w:hideMark/>
          </w:tcPr>
          <w:p w14:paraId="743CC4DC" w14:textId="77777777" w:rsidR="00082E5A" w:rsidRPr="00082E5A" w:rsidRDefault="00082E5A" w:rsidP="00082E5A">
            <w:pPr>
              <w:ind w:firstLine="720"/>
              <w:rPr>
                <w:sz w:val="24"/>
                <w:szCs w:val="24"/>
              </w:rPr>
            </w:pPr>
            <w:r w:rsidRPr="00082E5A">
              <w:rPr>
                <w:sz w:val="24"/>
                <w:szCs w:val="24"/>
              </w:rPr>
              <w:t>4518</w:t>
            </w:r>
          </w:p>
        </w:tc>
      </w:tr>
      <w:tr w:rsidR="00082E5A" w:rsidRPr="00082E5A" w14:paraId="7BE8C2F1" w14:textId="77777777" w:rsidTr="008F5801">
        <w:trPr>
          <w:trHeight w:val="288"/>
        </w:trPr>
        <w:tc>
          <w:tcPr>
            <w:tcW w:w="2003" w:type="dxa"/>
            <w:noWrap/>
            <w:hideMark/>
          </w:tcPr>
          <w:p w14:paraId="27FC1073" w14:textId="77777777" w:rsidR="00082E5A" w:rsidRPr="00082E5A" w:rsidRDefault="00082E5A" w:rsidP="00082E5A">
            <w:pPr>
              <w:ind w:firstLine="720"/>
              <w:rPr>
                <w:b/>
                <w:bCs/>
                <w:sz w:val="24"/>
                <w:szCs w:val="24"/>
              </w:rPr>
            </w:pPr>
            <w:r w:rsidRPr="00082E5A">
              <w:rPr>
                <w:b/>
                <w:bCs/>
                <w:sz w:val="24"/>
                <w:szCs w:val="24"/>
              </w:rPr>
              <w:t>Jan-Feb</w:t>
            </w:r>
          </w:p>
        </w:tc>
        <w:tc>
          <w:tcPr>
            <w:tcW w:w="1590" w:type="dxa"/>
            <w:noWrap/>
            <w:hideMark/>
          </w:tcPr>
          <w:p w14:paraId="0C0FC793" w14:textId="77777777" w:rsidR="00082E5A" w:rsidRPr="00082E5A" w:rsidRDefault="00082E5A" w:rsidP="00082E5A">
            <w:pPr>
              <w:ind w:firstLine="720"/>
              <w:rPr>
                <w:sz w:val="24"/>
                <w:szCs w:val="24"/>
              </w:rPr>
            </w:pPr>
            <w:r w:rsidRPr="00082E5A">
              <w:rPr>
                <w:sz w:val="24"/>
                <w:szCs w:val="24"/>
              </w:rPr>
              <w:t>6834</w:t>
            </w:r>
          </w:p>
        </w:tc>
        <w:tc>
          <w:tcPr>
            <w:tcW w:w="380" w:type="dxa"/>
            <w:noWrap/>
            <w:hideMark/>
          </w:tcPr>
          <w:p w14:paraId="546803EE" w14:textId="77777777" w:rsidR="00082E5A" w:rsidRPr="00082E5A" w:rsidRDefault="00082E5A" w:rsidP="00082E5A">
            <w:pPr>
              <w:ind w:firstLine="720"/>
              <w:rPr>
                <w:sz w:val="24"/>
                <w:szCs w:val="24"/>
              </w:rPr>
            </w:pPr>
          </w:p>
        </w:tc>
        <w:tc>
          <w:tcPr>
            <w:tcW w:w="1536" w:type="dxa"/>
            <w:noWrap/>
            <w:hideMark/>
          </w:tcPr>
          <w:p w14:paraId="356B9DC6" w14:textId="77777777" w:rsidR="00082E5A" w:rsidRPr="00082E5A" w:rsidRDefault="00082E5A" w:rsidP="00082E5A">
            <w:pPr>
              <w:ind w:firstLine="720"/>
              <w:rPr>
                <w:sz w:val="24"/>
                <w:szCs w:val="24"/>
              </w:rPr>
            </w:pPr>
            <w:r w:rsidRPr="00082E5A">
              <w:rPr>
                <w:sz w:val="24"/>
                <w:szCs w:val="24"/>
              </w:rPr>
              <w:t>7448</w:t>
            </w:r>
          </w:p>
        </w:tc>
        <w:tc>
          <w:tcPr>
            <w:tcW w:w="460" w:type="dxa"/>
            <w:noWrap/>
            <w:hideMark/>
          </w:tcPr>
          <w:p w14:paraId="7C908660" w14:textId="77777777" w:rsidR="00082E5A" w:rsidRPr="00082E5A" w:rsidRDefault="00082E5A" w:rsidP="00082E5A">
            <w:pPr>
              <w:ind w:firstLine="720"/>
              <w:rPr>
                <w:sz w:val="24"/>
                <w:szCs w:val="24"/>
              </w:rPr>
            </w:pPr>
          </w:p>
        </w:tc>
        <w:tc>
          <w:tcPr>
            <w:tcW w:w="1536" w:type="dxa"/>
            <w:noWrap/>
            <w:hideMark/>
          </w:tcPr>
          <w:p w14:paraId="4F7FFBB9" w14:textId="77777777" w:rsidR="00082E5A" w:rsidRPr="00082E5A" w:rsidRDefault="00082E5A" w:rsidP="00082E5A">
            <w:pPr>
              <w:ind w:firstLine="720"/>
              <w:rPr>
                <w:sz w:val="24"/>
                <w:szCs w:val="24"/>
              </w:rPr>
            </w:pPr>
            <w:r w:rsidRPr="00082E5A">
              <w:rPr>
                <w:sz w:val="24"/>
                <w:szCs w:val="24"/>
              </w:rPr>
              <w:t>4648</w:t>
            </w:r>
          </w:p>
        </w:tc>
      </w:tr>
      <w:tr w:rsidR="00082E5A" w:rsidRPr="00082E5A" w14:paraId="5F728448" w14:textId="77777777" w:rsidTr="008F5801">
        <w:trPr>
          <w:trHeight w:val="192"/>
        </w:trPr>
        <w:tc>
          <w:tcPr>
            <w:tcW w:w="2003" w:type="dxa"/>
            <w:noWrap/>
            <w:hideMark/>
          </w:tcPr>
          <w:p w14:paraId="2B8B967B" w14:textId="77777777" w:rsidR="00082E5A" w:rsidRPr="00082E5A" w:rsidRDefault="00082E5A" w:rsidP="00082E5A">
            <w:pPr>
              <w:ind w:firstLine="720"/>
              <w:rPr>
                <w:sz w:val="24"/>
                <w:szCs w:val="24"/>
              </w:rPr>
            </w:pPr>
          </w:p>
        </w:tc>
        <w:tc>
          <w:tcPr>
            <w:tcW w:w="1590" w:type="dxa"/>
            <w:noWrap/>
            <w:hideMark/>
          </w:tcPr>
          <w:p w14:paraId="2518BB23" w14:textId="77777777" w:rsidR="00082E5A" w:rsidRPr="00082E5A" w:rsidRDefault="00082E5A" w:rsidP="00082E5A">
            <w:pPr>
              <w:ind w:firstLine="720"/>
              <w:rPr>
                <w:sz w:val="24"/>
                <w:szCs w:val="24"/>
              </w:rPr>
            </w:pPr>
          </w:p>
        </w:tc>
        <w:tc>
          <w:tcPr>
            <w:tcW w:w="380" w:type="dxa"/>
            <w:noWrap/>
            <w:hideMark/>
          </w:tcPr>
          <w:p w14:paraId="40CFE802" w14:textId="77777777" w:rsidR="00082E5A" w:rsidRPr="00082E5A" w:rsidRDefault="00082E5A" w:rsidP="00082E5A">
            <w:pPr>
              <w:ind w:firstLine="720"/>
              <w:rPr>
                <w:sz w:val="24"/>
                <w:szCs w:val="24"/>
              </w:rPr>
            </w:pPr>
          </w:p>
        </w:tc>
        <w:tc>
          <w:tcPr>
            <w:tcW w:w="1536" w:type="dxa"/>
            <w:noWrap/>
            <w:hideMark/>
          </w:tcPr>
          <w:p w14:paraId="03047AB5" w14:textId="77777777" w:rsidR="00082E5A" w:rsidRPr="00082E5A" w:rsidRDefault="00082E5A" w:rsidP="00082E5A">
            <w:pPr>
              <w:ind w:firstLine="720"/>
              <w:rPr>
                <w:sz w:val="24"/>
                <w:szCs w:val="24"/>
              </w:rPr>
            </w:pPr>
          </w:p>
        </w:tc>
        <w:tc>
          <w:tcPr>
            <w:tcW w:w="460" w:type="dxa"/>
            <w:noWrap/>
            <w:hideMark/>
          </w:tcPr>
          <w:p w14:paraId="5DE42D65" w14:textId="77777777" w:rsidR="00082E5A" w:rsidRPr="00082E5A" w:rsidRDefault="00082E5A" w:rsidP="00082E5A">
            <w:pPr>
              <w:ind w:firstLine="720"/>
              <w:rPr>
                <w:sz w:val="24"/>
                <w:szCs w:val="24"/>
              </w:rPr>
            </w:pPr>
          </w:p>
        </w:tc>
        <w:tc>
          <w:tcPr>
            <w:tcW w:w="1536" w:type="dxa"/>
            <w:noWrap/>
            <w:hideMark/>
          </w:tcPr>
          <w:p w14:paraId="15AE6C04" w14:textId="77777777" w:rsidR="00082E5A" w:rsidRPr="00082E5A" w:rsidRDefault="00082E5A" w:rsidP="00082E5A">
            <w:pPr>
              <w:ind w:firstLine="720"/>
              <w:rPr>
                <w:sz w:val="24"/>
                <w:szCs w:val="24"/>
              </w:rPr>
            </w:pPr>
          </w:p>
        </w:tc>
      </w:tr>
      <w:tr w:rsidR="00082E5A" w:rsidRPr="00082E5A" w14:paraId="746959D7" w14:textId="77777777" w:rsidTr="008F5801">
        <w:trPr>
          <w:trHeight w:val="360"/>
        </w:trPr>
        <w:tc>
          <w:tcPr>
            <w:tcW w:w="2003" w:type="dxa"/>
            <w:noWrap/>
            <w:hideMark/>
          </w:tcPr>
          <w:p w14:paraId="4749AC27" w14:textId="77777777" w:rsidR="00082E5A" w:rsidRPr="00082E5A" w:rsidRDefault="00082E5A" w:rsidP="00082E5A">
            <w:pPr>
              <w:ind w:firstLine="720"/>
              <w:rPr>
                <w:b/>
                <w:bCs/>
                <w:sz w:val="24"/>
                <w:szCs w:val="24"/>
                <w:u w:val="single"/>
              </w:rPr>
            </w:pPr>
            <w:r w:rsidRPr="00082E5A">
              <w:rPr>
                <w:b/>
                <w:bCs/>
                <w:sz w:val="24"/>
                <w:szCs w:val="24"/>
                <w:u w:val="single"/>
              </w:rPr>
              <w:t>Electricity</w:t>
            </w:r>
          </w:p>
        </w:tc>
        <w:tc>
          <w:tcPr>
            <w:tcW w:w="1590" w:type="dxa"/>
            <w:noWrap/>
            <w:hideMark/>
          </w:tcPr>
          <w:p w14:paraId="705E2084" w14:textId="73CD090D" w:rsidR="00082E5A" w:rsidRPr="00082E5A" w:rsidRDefault="00D200F5" w:rsidP="00082E5A">
            <w:pPr>
              <w:ind w:firstLine="720"/>
              <w:rPr>
                <w:b/>
                <w:bCs/>
                <w:sz w:val="24"/>
                <w:szCs w:val="24"/>
              </w:rPr>
            </w:pPr>
            <w:r>
              <w:rPr>
                <w:b/>
                <w:bCs/>
                <w:sz w:val="24"/>
                <w:szCs w:val="24"/>
              </w:rPr>
              <w:t>KWH</w:t>
            </w:r>
          </w:p>
        </w:tc>
        <w:tc>
          <w:tcPr>
            <w:tcW w:w="380" w:type="dxa"/>
            <w:noWrap/>
            <w:hideMark/>
          </w:tcPr>
          <w:p w14:paraId="66126BAD" w14:textId="77777777" w:rsidR="00082E5A" w:rsidRPr="00082E5A" w:rsidRDefault="00082E5A" w:rsidP="00082E5A">
            <w:pPr>
              <w:ind w:firstLine="720"/>
              <w:rPr>
                <w:b/>
                <w:bCs/>
                <w:sz w:val="24"/>
                <w:szCs w:val="24"/>
              </w:rPr>
            </w:pPr>
          </w:p>
        </w:tc>
        <w:tc>
          <w:tcPr>
            <w:tcW w:w="1536" w:type="dxa"/>
            <w:noWrap/>
            <w:hideMark/>
          </w:tcPr>
          <w:p w14:paraId="6BB9B246" w14:textId="77777777" w:rsidR="00082E5A" w:rsidRPr="00082E5A" w:rsidRDefault="00082E5A" w:rsidP="00082E5A">
            <w:pPr>
              <w:ind w:firstLine="720"/>
              <w:rPr>
                <w:sz w:val="24"/>
                <w:szCs w:val="24"/>
              </w:rPr>
            </w:pPr>
          </w:p>
        </w:tc>
        <w:tc>
          <w:tcPr>
            <w:tcW w:w="460" w:type="dxa"/>
            <w:noWrap/>
            <w:hideMark/>
          </w:tcPr>
          <w:p w14:paraId="4DF90CE2" w14:textId="77777777" w:rsidR="00082E5A" w:rsidRPr="00082E5A" w:rsidRDefault="00082E5A" w:rsidP="00082E5A">
            <w:pPr>
              <w:ind w:firstLine="720"/>
              <w:rPr>
                <w:sz w:val="24"/>
                <w:szCs w:val="24"/>
              </w:rPr>
            </w:pPr>
          </w:p>
        </w:tc>
        <w:tc>
          <w:tcPr>
            <w:tcW w:w="1536" w:type="dxa"/>
            <w:noWrap/>
            <w:hideMark/>
          </w:tcPr>
          <w:p w14:paraId="667011D7" w14:textId="77777777" w:rsidR="00082E5A" w:rsidRPr="00082E5A" w:rsidRDefault="00082E5A" w:rsidP="00082E5A">
            <w:pPr>
              <w:ind w:firstLine="720"/>
              <w:rPr>
                <w:sz w:val="24"/>
                <w:szCs w:val="24"/>
              </w:rPr>
            </w:pPr>
          </w:p>
        </w:tc>
      </w:tr>
      <w:tr w:rsidR="00082E5A" w:rsidRPr="00082E5A" w14:paraId="2760C78F" w14:textId="77777777" w:rsidTr="008F5801">
        <w:trPr>
          <w:trHeight w:val="288"/>
        </w:trPr>
        <w:tc>
          <w:tcPr>
            <w:tcW w:w="2003" w:type="dxa"/>
            <w:noWrap/>
            <w:hideMark/>
          </w:tcPr>
          <w:p w14:paraId="08A88D29" w14:textId="77777777" w:rsidR="00082E5A" w:rsidRPr="00082E5A" w:rsidRDefault="00082E5A" w:rsidP="00082E5A">
            <w:pPr>
              <w:ind w:firstLine="720"/>
              <w:rPr>
                <w:b/>
                <w:bCs/>
                <w:sz w:val="24"/>
                <w:szCs w:val="24"/>
              </w:rPr>
            </w:pPr>
            <w:r w:rsidRPr="00082E5A">
              <w:rPr>
                <w:b/>
                <w:bCs/>
                <w:sz w:val="24"/>
                <w:szCs w:val="24"/>
              </w:rPr>
              <w:t>Sept</w:t>
            </w:r>
          </w:p>
        </w:tc>
        <w:tc>
          <w:tcPr>
            <w:tcW w:w="1590" w:type="dxa"/>
            <w:noWrap/>
            <w:hideMark/>
          </w:tcPr>
          <w:p w14:paraId="453C21B4" w14:textId="77777777" w:rsidR="00082E5A" w:rsidRPr="00082E5A" w:rsidRDefault="00082E5A" w:rsidP="00082E5A">
            <w:pPr>
              <w:ind w:firstLine="720"/>
              <w:rPr>
                <w:sz w:val="24"/>
                <w:szCs w:val="24"/>
              </w:rPr>
            </w:pPr>
            <w:r w:rsidRPr="00082E5A">
              <w:rPr>
                <w:sz w:val="24"/>
                <w:szCs w:val="24"/>
              </w:rPr>
              <w:t>24000</w:t>
            </w:r>
          </w:p>
        </w:tc>
        <w:tc>
          <w:tcPr>
            <w:tcW w:w="380" w:type="dxa"/>
            <w:noWrap/>
            <w:hideMark/>
          </w:tcPr>
          <w:p w14:paraId="2EE5DEFE" w14:textId="77777777" w:rsidR="00082E5A" w:rsidRPr="00082E5A" w:rsidRDefault="00082E5A" w:rsidP="00082E5A">
            <w:pPr>
              <w:ind w:firstLine="720"/>
              <w:rPr>
                <w:sz w:val="24"/>
                <w:szCs w:val="24"/>
              </w:rPr>
            </w:pPr>
          </w:p>
        </w:tc>
        <w:tc>
          <w:tcPr>
            <w:tcW w:w="1536" w:type="dxa"/>
            <w:noWrap/>
            <w:hideMark/>
          </w:tcPr>
          <w:p w14:paraId="43A87FA1" w14:textId="77777777" w:rsidR="00082E5A" w:rsidRPr="00082E5A" w:rsidRDefault="00082E5A" w:rsidP="00082E5A">
            <w:pPr>
              <w:ind w:firstLine="720"/>
              <w:rPr>
                <w:sz w:val="24"/>
                <w:szCs w:val="24"/>
              </w:rPr>
            </w:pPr>
            <w:r w:rsidRPr="00082E5A">
              <w:rPr>
                <w:sz w:val="24"/>
                <w:szCs w:val="24"/>
              </w:rPr>
              <w:t>21760</w:t>
            </w:r>
          </w:p>
        </w:tc>
        <w:tc>
          <w:tcPr>
            <w:tcW w:w="460" w:type="dxa"/>
            <w:noWrap/>
            <w:hideMark/>
          </w:tcPr>
          <w:p w14:paraId="323516A9" w14:textId="77777777" w:rsidR="00082E5A" w:rsidRPr="00082E5A" w:rsidRDefault="00082E5A" w:rsidP="00082E5A">
            <w:pPr>
              <w:ind w:firstLine="720"/>
              <w:rPr>
                <w:sz w:val="24"/>
                <w:szCs w:val="24"/>
              </w:rPr>
            </w:pPr>
          </w:p>
        </w:tc>
        <w:tc>
          <w:tcPr>
            <w:tcW w:w="1536" w:type="dxa"/>
            <w:noWrap/>
            <w:hideMark/>
          </w:tcPr>
          <w:p w14:paraId="39B31CB3" w14:textId="77777777" w:rsidR="00082E5A" w:rsidRPr="00082E5A" w:rsidRDefault="00082E5A" w:rsidP="00082E5A">
            <w:pPr>
              <w:ind w:firstLine="720"/>
              <w:rPr>
                <w:sz w:val="24"/>
                <w:szCs w:val="24"/>
              </w:rPr>
            </w:pPr>
            <w:r w:rsidRPr="00082E5A">
              <w:rPr>
                <w:sz w:val="24"/>
                <w:szCs w:val="24"/>
              </w:rPr>
              <w:t>19040</w:t>
            </w:r>
          </w:p>
        </w:tc>
      </w:tr>
      <w:tr w:rsidR="00082E5A" w:rsidRPr="00082E5A" w14:paraId="39A97061" w14:textId="77777777" w:rsidTr="008F5801">
        <w:trPr>
          <w:trHeight w:val="288"/>
        </w:trPr>
        <w:tc>
          <w:tcPr>
            <w:tcW w:w="2003" w:type="dxa"/>
            <w:noWrap/>
            <w:hideMark/>
          </w:tcPr>
          <w:p w14:paraId="46D48C32" w14:textId="77777777" w:rsidR="00082E5A" w:rsidRPr="00082E5A" w:rsidRDefault="00082E5A" w:rsidP="00082E5A">
            <w:pPr>
              <w:ind w:firstLine="720"/>
              <w:rPr>
                <w:b/>
                <w:bCs/>
                <w:sz w:val="24"/>
                <w:szCs w:val="24"/>
              </w:rPr>
            </w:pPr>
            <w:r w:rsidRPr="00082E5A">
              <w:rPr>
                <w:b/>
                <w:bCs/>
                <w:sz w:val="24"/>
                <w:szCs w:val="24"/>
              </w:rPr>
              <w:t>Oct</w:t>
            </w:r>
          </w:p>
        </w:tc>
        <w:tc>
          <w:tcPr>
            <w:tcW w:w="1590" w:type="dxa"/>
            <w:noWrap/>
            <w:hideMark/>
          </w:tcPr>
          <w:p w14:paraId="63132C6F" w14:textId="77777777" w:rsidR="00082E5A" w:rsidRPr="00082E5A" w:rsidRDefault="00082E5A" w:rsidP="00082E5A">
            <w:pPr>
              <w:ind w:firstLine="720"/>
              <w:rPr>
                <w:sz w:val="24"/>
                <w:szCs w:val="24"/>
              </w:rPr>
            </w:pPr>
            <w:r w:rsidRPr="00082E5A">
              <w:rPr>
                <w:sz w:val="24"/>
                <w:szCs w:val="24"/>
              </w:rPr>
              <w:t>21440</w:t>
            </w:r>
          </w:p>
        </w:tc>
        <w:tc>
          <w:tcPr>
            <w:tcW w:w="380" w:type="dxa"/>
            <w:noWrap/>
            <w:hideMark/>
          </w:tcPr>
          <w:p w14:paraId="719C8918" w14:textId="77777777" w:rsidR="00082E5A" w:rsidRPr="00082E5A" w:rsidRDefault="00082E5A" w:rsidP="00082E5A">
            <w:pPr>
              <w:ind w:firstLine="720"/>
              <w:rPr>
                <w:sz w:val="24"/>
                <w:szCs w:val="24"/>
              </w:rPr>
            </w:pPr>
          </w:p>
        </w:tc>
        <w:tc>
          <w:tcPr>
            <w:tcW w:w="1536" w:type="dxa"/>
            <w:noWrap/>
            <w:hideMark/>
          </w:tcPr>
          <w:p w14:paraId="1D4457B4" w14:textId="77777777" w:rsidR="00082E5A" w:rsidRPr="00082E5A" w:rsidRDefault="00082E5A" w:rsidP="00082E5A">
            <w:pPr>
              <w:ind w:firstLine="720"/>
              <w:rPr>
                <w:sz w:val="24"/>
                <w:szCs w:val="24"/>
              </w:rPr>
            </w:pPr>
            <w:r w:rsidRPr="00082E5A">
              <w:rPr>
                <w:sz w:val="24"/>
                <w:szCs w:val="24"/>
              </w:rPr>
              <w:t>20320</w:t>
            </w:r>
          </w:p>
        </w:tc>
        <w:tc>
          <w:tcPr>
            <w:tcW w:w="460" w:type="dxa"/>
            <w:noWrap/>
            <w:hideMark/>
          </w:tcPr>
          <w:p w14:paraId="61E56323" w14:textId="77777777" w:rsidR="00082E5A" w:rsidRPr="00082E5A" w:rsidRDefault="00082E5A" w:rsidP="00082E5A">
            <w:pPr>
              <w:ind w:firstLine="720"/>
              <w:rPr>
                <w:sz w:val="24"/>
                <w:szCs w:val="24"/>
              </w:rPr>
            </w:pPr>
          </w:p>
        </w:tc>
        <w:tc>
          <w:tcPr>
            <w:tcW w:w="1536" w:type="dxa"/>
            <w:noWrap/>
            <w:hideMark/>
          </w:tcPr>
          <w:p w14:paraId="3819323F" w14:textId="77777777" w:rsidR="00082E5A" w:rsidRPr="00082E5A" w:rsidRDefault="00082E5A" w:rsidP="00082E5A">
            <w:pPr>
              <w:ind w:firstLine="720"/>
              <w:rPr>
                <w:sz w:val="24"/>
                <w:szCs w:val="24"/>
              </w:rPr>
            </w:pPr>
            <w:r w:rsidRPr="00082E5A">
              <w:rPr>
                <w:sz w:val="24"/>
                <w:szCs w:val="24"/>
              </w:rPr>
              <w:t>16800</w:t>
            </w:r>
          </w:p>
        </w:tc>
      </w:tr>
      <w:tr w:rsidR="00082E5A" w:rsidRPr="00082E5A" w14:paraId="0BE79988" w14:textId="77777777" w:rsidTr="008F5801">
        <w:trPr>
          <w:trHeight w:val="288"/>
        </w:trPr>
        <w:tc>
          <w:tcPr>
            <w:tcW w:w="2003" w:type="dxa"/>
            <w:noWrap/>
            <w:hideMark/>
          </w:tcPr>
          <w:p w14:paraId="34491CBE" w14:textId="77777777" w:rsidR="00082E5A" w:rsidRPr="00082E5A" w:rsidRDefault="00082E5A" w:rsidP="00082E5A">
            <w:pPr>
              <w:ind w:firstLine="720"/>
              <w:rPr>
                <w:b/>
                <w:bCs/>
                <w:sz w:val="24"/>
                <w:szCs w:val="24"/>
              </w:rPr>
            </w:pPr>
            <w:r w:rsidRPr="00082E5A">
              <w:rPr>
                <w:b/>
                <w:bCs/>
                <w:sz w:val="24"/>
                <w:szCs w:val="24"/>
              </w:rPr>
              <w:t>Nov</w:t>
            </w:r>
          </w:p>
        </w:tc>
        <w:tc>
          <w:tcPr>
            <w:tcW w:w="1590" w:type="dxa"/>
            <w:noWrap/>
            <w:hideMark/>
          </w:tcPr>
          <w:p w14:paraId="73E08740" w14:textId="77777777" w:rsidR="00082E5A" w:rsidRPr="00082E5A" w:rsidRDefault="00082E5A" w:rsidP="00082E5A">
            <w:pPr>
              <w:ind w:firstLine="720"/>
              <w:rPr>
                <w:sz w:val="24"/>
                <w:szCs w:val="24"/>
              </w:rPr>
            </w:pPr>
            <w:r w:rsidRPr="00082E5A">
              <w:rPr>
                <w:sz w:val="24"/>
                <w:szCs w:val="24"/>
              </w:rPr>
              <w:t>22080</w:t>
            </w:r>
          </w:p>
        </w:tc>
        <w:tc>
          <w:tcPr>
            <w:tcW w:w="380" w:type="dxa"/>
            <w:noWrap/>
            <w:hideMark/>
          </w:tcPr>
          <w:p w14:paraId="07B1A77A" w14:textId="77777777" w:rsidR="00082E5A" w:rsidRPr="00082E5A" w:rsidRDefault="00082E5A" w:rsidP="00082E5A">
            <w:pPr>
              <w:ind w:firstLine="720"/>
              <w:rPr>
                <w:sz w:val="24"/>
                <w:szCs w:val="24"/>
              </w:rPr>
            </w:pPr>
          </w:p>
        </w:tc>
        <w:tc>
          <w:tcPr>
            <w:tcW w:w="1536" w:type="dxa"/>
            <w:noWrap/>
            <w:hideMark/>
          </w:tcPr>
          <w:p w14:paraId="4572A54C" w14:textId="77777777" w:rsidR="00082E5A" w:rsidRPr="00082E5A" w:rsidRDefault="00082E5A" w:rsidP="00082E5A">
            <w:pPr>
              <w:ind w:firstLine="720"/>
              <w:rPr>
                <w:sz w:val="24"/>
                <w:szCs w:val="24"/>
              </w:rPr>
            </w:pPr>
            <w:r w:rsidRPr="00082E5A">
              <w:rPr>
                <w:sz w:val="24"/>
                <w:szCs w:val="24"/>
              </w:rPr>
              <w:t>21280</w:t>
            </w:r>
          </w:p>
        </w:tc>
        <w:tc>
          <w:tcPr>
            <w:tcW w:w="460" w:type="dxa"/>
            <w:noWrap/>
            <w:hideMark/>
          </w:tcPr>
          <w:p w14:paraId="5A3C345E" w14:textId="77777777" w:rsidR="00082E5A" w:rsidRPr="00082E5A" w:rsidRDefault="00082E5A" w:rsidP="00082E5A">
            <w:pPr>
              <w:ind w:firstLine="720"/>
              <w:rPr>
                <w:sz w:val="24"/>
                <w:szCs w:val="24"/>
              </w:rPr>
            </w:pPr>
          </w:p>
        </w:tc>
        <w:tc>
          <w:tcPr>
            <w:tcW w:w="1536" w:type="dxa"/>
            <w:noWrap/>
            <w:hideMark/>
          </w:tcPr>
          <w:p w14:paraId="52B1D93B" w14:textId="77777777" w:rsidR="00082E5A" w:rsidRPr="00082E5A" w:rsidRDefault="00082E5A" w:rsidP="00082E5A">
            <w:pPr>
              <w:ind w:firstLine="720"/>
              <w:rPr>
                <w:sz w:val="24"/>
                <w:szCs w:val="24"/>
              </w:rPr>
            </w:pPr>
            <w:r w:rsidRPr="00082E5A">
              <w:rPr>
                <w:sz w:val="24"/>
                <w:szCs w:val="24"/>
              </w:rPr>
              <w:t>17920</w:t>
            </w:r>
          </w:p>
        </w:tc>
      </w:tr>
      <w:tr w:rsidR="00082E5A" w:rsidRPr="00082E5A" w14:paraId="7A1A6462" w14:textId="77777777" w:rsidTr="008F5801">
        <w:trPr>
          <w:trHeight w:val="288"/>
        </w:trPr>
        <w:tc>
          <w:tcPr>
            <w:tcW w:w="2003" w:type="dxa"/>
            <w:noWrap/>
            <w:hideMark/>
          </w:tcPr>
          <w:p w14:paraId="4EF9BBDD" w14:textId="77777777" w:rsidR="00082E5A" w:rsidRPr="00082E5A" w:rsidRDefault="00082E5A" w:rsidP="00082E5A">
            <w:pPr>
              <w:ind w:firstLine="720"/>
              <w:rPr>
                <w:b/>
                <w:bCs/>
                <w:sz w:val="24"/>
                <w:szCs w:val="24"/>
              </w:rPr>
            </w:pPr>
            <w:r w:rsidRPr="00082E5A">
              <w:rPr>
                <w:b/>
                <w:bCs/>
                <w:sz w:val="24"/>
                <w:szCs w:val="24"/>
              </w:rPr>
              <w:t>Dec</w:t>
            </w:r>
          </w:p>
        </w:tc>
        <w:tc>
          <w:tcPr>
            <w:tcW w:w="1590" w:type="dxa"/>
            <w:noWrap/>
            <w:hideMark/>
          </w:tcPr>
          <w:p w14:paraId="5DA8F5BC" w14:textId="77777777" w:rsidR="00082E5A" w:rsidRPr="00082E5A" w:rsidRDefault="00082E5A" w:rsidP="00082E5A">
            <w:pPr>
              <w:ind w:firstLine="720"/>
              <w:rPr>
                <w:sz w:val="24"/>
                <w:szCs w:val="24"/>
              </w:rPr>
            </w:pPr>
            <w:r w:rsidRPr="00082E5A">
              <w:rPr>
                <w:sz w:val="24"/>
                <w:szCs w:val="24"/>
              </w:rPr>
              <w:t>22080</w:t>
            </w:r>
          </w:p>
        </w:tc>
        <w:tc>
          <w:tcPr>
            <w:tcW w:w="380" w:type="dxa"/>
            <w:noWrap/>
            <w:hideMark/>
          </w:tcPr>
          <w:p w14:paraId="35E80F14" w14:textId="77777777" w:rsidR="00082E5A" w:rsidRPr="00082E5A" w:rsidRDefault="00082E5A" w:rsidP="00082E5A">
            <w:pPr>
              <w:ind w:firstLine="720"/>
              <w:rPr>
                <w:sz w:val="24"/>
                <w:szCs w:val="24"/>
              </w:rPr>
            </w:pPr>
          </w:p>
        </w:tc>
        <w:tc>
          <w:tcPr>
            <w:tcW w:w="1536" w:type="dxa"/>
            <w:noWrap/>
            <w:hideMark/>
          </w:tcPr>
          <w:p w14:paraId="22974DAE" w14:textId="77777777" w:rsidR="00082E5A" w:rsidRPr="00082E5A" w:rsidRDefault="00082E5A" w:rsidP="00082E5A">
            <w:pPr>
              <w:ind w:firstLine="720"/>
              <w:rPr>
                <w:sz w:val="24"/>
                <w:szCs w:val="24"/>
              </w:rPr>
            </w:pPr>
            <w:r w:rsidRPr="00082E5A">
              <w:rPr>
                <w:sz w:val="24"/>
                <w:szCs w:val="24"/>
              </w:rPr>
              <w:t>23840</w:t>
            </w:r>
          </w:p>
        </w:tc>
        <w:tc>
          <w:tcPr>
            <w:tcW w:w="460" w:type="dxa"/>
            <w:noWrap/>
            <w:hideMark/>
          </w:tcPr>
          <w:p w14:paraId="218BD6C4" w14:textId="77777777" w:rsidR="00082E5A" w:rsidRPr="00082E5A" w:rsidRDefault="00082E5A" w:rsidP="00082E5A">
            <w:pPr>
              <w:ind w:firstLine="720"/>
              <w:rPr>
                <w:sz w:val="24"/>
                <w:szCs w:val="24"/>
              </w:rPr>
            </w:pPr>
          </w:p>
        </w:tc>
        <w:tc>
          <w:tcPr>
            <w:tcW w:w="1536" w:type="dxa"/>
            <w:noWrap/>
            <w:hideMark/>
          </w:tcPr>
          <w:p w14:paraId="0CBAECC8" w14:textId="77777777" w:rsidR="00082E5A" w:rsidRPr="00082E5A" w:rsidRDefault="00082E5A" w:rsidP="00082E5A">
            <w:pPr>
              <w:ind w:firstLine="720"/>
              <w:rPr>
                <w:sz w:val="24"/>
                <w:szCs w:val="24"/>
              </w:rPr>
            </w:pPr>
            <w:r w:rsidRPr="00082E5A">
              <w:rPr>
                <w:sz w:val="24"/>
                <w:szCs w:val="24"/>
              </w:rPr>
              <w:t>18400</w:t>
            </w:r>
          </w:p>
        </w:tc>
      </w:tr>
      <w:tr w:rsidR="00082E5A" w:rsidRPr="00082E5A" w14:paraId="5E2D700A" w14:textId="77777777" w:rsidTr="008F5801">
        <w:trPr>
          <w:trHeight w:val="288"/>
        </w:trPr>
        <w:tc>
          <w:tcPr>
            <w:tcW w:w="2003" w:type="dxa"/>
            <w:noWrap/>
            <w:hideMark/>
          </w:tcPr>
          <w:p w14:paraId="6189F87D" w14:textId="77777777" w:rsidR="00082E5A" w:rsidRPr="00082E5A" w:rsidRDefault="00082E5A" w:rsidP="00082E5A">
            <w:pPr>
              <w:ind w:firstLine="720"/>
              <w:rPr>
                <w:sz w:val="24"/>
                <w:szCs w:val="24"/>
              </w:rPr>
            </w:pPr>
          </w:p>
        </w:tc>
        <w:tc>
          <w:tcPr>
            <w:tcW w:w="1590" w:type="dxa"/>
            <w:noWrap/>
            <w:hideMark/>
          </w:tcPr>
          <w:p w14:paraId="050EBB0A" w14:textId="77777777" w:rsidR="00082E5A" w:rsidRPr="00082E5A" w:rsidRDefault="00082E5A" w:rsidP="00082E5A">
            <w:pPr>
              <w:ind w:firstLine="720"/>
              <w:rPr>
                <w:sz w:val="24"/>
                <w:szCs w:val="24"/>
              </w:rPr>
            </w:pPr>
          </w:p>
        </w:tc>
        <w:tc>
          <w:tcPr>
            <w:tcW w:w="380" w:type="dxa"/>
            <w:noWrap/>
            <w:hideMark/>
          </w:tcPr>
          <w:p w14:paraId="212A2A21" w14:textId="77777777" w:rsidR="00082E5A" w:rsidRPr="00082E5A" w:rsidRDefault="00082E5A" w:rsidP="00082E5A">
            <w:pPr>
              <w:ind w:firstLine="720"/>
              <w:rPr>
                <w:sz w:val="24"/>
                <w:szCs w:val="24"/>
              </w:rPr>
            </w:pPr>
          </w:p>
        </w:tc>
        <w:tc>
          <w:tcPr>
            <w:tcW w:w="1536" w:type="dxa"/>
            <w:noWrap/>
            <w:hideMark/>
          </w:tcPr>
          <w:p w14:paraId="699EF001" w14:textId="77777777" w:rsidR="00082E5A" w:rsidRPr="00082E5A" w:rsidRDefault="00082E5A" w:rsidP="00082E5A">
            <w:pPr>
              <w:ind w:firstLine="720"/>
              <w:rPr>
                <w:sz w:val="24"/>
                <w:szCs w:val="24"/>
              </w:rPr>
            </w:pPr>
          </w:p>
        </w:tc>
        <w:tc>
          <w:tcPr>
            <w:tcW w:w="460" w:type="dxa"/>
            <w:noWrap/>
            <w:hideMark/>
          </w:tcPr>
          <w:p w14:paraId="116A432A" w14:textId="77777777" w:rsidR="00082E5A" w:rsidRPr="00082E5A" w:rsidRDefault="00082E5A" w:rsidP="00082E5A">
            <w:pPr>
              <w:ind w:firstLine="720"/>
              <w:rPr>
                <w:sz w:val="24"/>
                <w:szCs w:val="24"/>
              </w:rPr>
            </w:pPr>
          </w:p>
        </w:tc>
        <w:tc>
          <w:tcPr>
            <w:tcW w:w="1536" w:type="dxa"/>
            <w:noWrap/>
            <w:hideMark/>
          </w:tcPr>
          <w:p w14:paraId="349F4BD8" w14:textId="77777777" w:rsidR="00082E5A" w:rsidRPr="00082E5A" w:rsidRDefault="00082E5A" w:rsidP="00082E5A">
            <w:pPr>
              <w:ind w:firstLine="720"/>
              <w:rPr>
                <w:sz w:val="24"/>
                <w:szCs w:val="24"/>
              </w:rPr>
            </w:pPr>
          </w:p>
        </w:tc>
      </w:tr>
      <w:tr w:rsidR="00082E5A" w:rsidRPr="00082E5A" w14:paraId="1C67CFB9" w14:textId="77777777" w:rsidTr="008F5801">
        <w:trPr>
          <w:trHeight w:val="288"/>
        </w:trPr>
        <w:tc>
          <w:tcPr>
            <w:tcW w:w="3593" w:type="dxa"/>
            <w:gridSpan w:val="2"/>
            <w:noWrap/>
            <w:hideMark/>
          </w:tcPr>
          <w:p w14:paraId="10300FEB" w14:textId="77777777" w:rsidR="00082E5A" w:rsidRPr="00082E5A" w:rsidRDefault="00082E5A" w:rsidP="00082E5A">
            <w:pPr>
              <w:ind w:firstLine="720"/>
              <w:rPr>
                <w:b/>
                <w:bCs/>
                <w:sz w:val="24"/>
                <w:szCs w:val="24"/>
              </w:rPr>
            </w:pPr>
            <w:r w:rsidRPr="00082E5A">
              <w:rPr>
                <w:b/>
                <w:bCs/>
                <w:sz w:val="24"/>
                <w:szCs w:val="24"/>
              </w:rPr>
              <w:t>1 CCF = 102,000 BTU's</w:t>
            </w:r>
          </w:p>
        </w:tc>
        <w:tc>
          <w:tcPr>
            <w:tcW w:w="380" w:type="dxa"/>
            <w:noWrap/>
            <w:hideMark/>
          </w:tcPr>
          <w:p w14:paraId="1EDF6D82" w14:textId="77777777" w:rsidR="00082E5A" w:rsidRPr="00082E5A" w:rsidRDefault="00082E5A" w:rsidP="00082E5A">
            <w:pPr>
              <w:ind w:firstLine="720"/>
              <w:rPr>
                <w:b/>
                <w:bCs/>
                <w:sz w:val="24"/>
                <w:szCs w:val="24"/>
              </w:rPr>
            </w:pPr>
          </w:p>
        </w:tc>
        <w:tc>
          <w:tcPr>
            <w:tcW w:w="1536" w:type="dxa"/>
            <w:noWrap/>
            <w:hideMark/>
          </w:tcPr>
          <w:p w14:paraId="7C78E479" w14:textId="77777777" w:rsidR="00082E5A" w:rsidRPr="00082E5A" w:rsidRDefault="00082E5A" w:rsidP="00082E5A">
            <w:pPr>
              <w:ind w:firstLine="720"/>
              <w:rPr>
                <w:sz w:val="24"/>
                <w:szCs w:val="24"/>
              </w:rPr>
            </w:pPr>
          </w:p>
        </w:tc>
        <w:tc>
          <w:tcPr>
            <w:tcW w:w="460" w:type="dxa"/>
            <w:noWrap/>
            <w:hideMark/>
          </w:tcPr>
          <w:p w14:paraId="44E1E467" w14:textId="77777777" w:rsidR="00082E5A" w:rsidRPr="00082E5A" w:rsidRDefault="00082E5A" w:rsidP="00082E5A">
            <w:pPr>
              <w:ind w:firstLine="720"/>
              <w:rPr>
                <w:sz w:val="24"/>
                <w:szCs w:val="24"/>
              </w:rPr>
            </w:pPr>
          </w:p>
        </w:tc>
        <w:tc>
          <w:tcPr>
            <w:tcW w:w="1536" w:type="dxa"/>
            <w:noWrap/>
            <w:hideMark/>
          </w:tcPr>
          <w:p w14:paraId="2904135E" w14:textId="77777777" w:rsidR="00082E5A" w:rsidRPr="00082E5A" w:rsidRDefault="00082E5A" w:rsidP="00082E5A">
            <w:pPr>
              <w:ind w:firstLine="720"/>
              <w:rPr>
                <w:sz w:val="24"/>
                <w:szCs w:val="24"/>
              </w:rPr>
            </w:pPr>
          </w:p>
        </w:tc>
      </w:tr>
    </w:tbl>
    <w:p w14:paraId="1A29CBC1" w14:textId="797F6ACA" w:rsidR="00380441" w:rsidRDefault="00082E5A" w:rsidP="00F20498">
      <w:pPr>
        <w:ind w:firstLine="720"/>
        <w:rPr>
          <w:sz w:val="24"/>
          <w:szCs w:val="24"/>
        </w:rPr>
      </w:pPr>
      <w:r>
        <w:rPr>
          <w:sz w:val="24"/>
          <w:szCs w:val="24"/>
        </w:rPr>
        <w:fldChar w:fldCharType="end"/>
      </w:r>
    </w:p>
    <w:p w14:paraId="762887F3" w14:textId="77777777" w:rsidR="00F35EAC" w:rsidRPr="00F20498" w:rsidRDefault="00F35EAC" w:rsidP="00F20498">
      <w:pPr>
        <w:ind w:left="2160"/>
        <w:rPr>
          <w:sz w:val="24"/>
          <w:szCs w:val="24"/>
        </w:rPr>
      </w:pPr>
    </w:p>
    <w:p w14:paraId="37F3A5FA" w14:textId="1B3DF6AB"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w:t>
      </w:r>
      <w:r w:rsidR="00893B3E">
        <w:rPr>
          <w:rFonts w:ascii="Times New Roman" w:hAnsi="Times New Roman" w:cs="Times New Roman"/>
          <w:b/>
          <w:sz w:val="24"/>
          <w:szCs w:val="24"/>
        </w:rPr>
        <w:t>7</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00893B3E">
        <w:rPr>
          <w:rFonts w:ascii="Times New Roman" w:hAnsi="Times New Roman" w:cs="Times New Roman"/>
          <w:b/>
          <w:sz w:val="24"/>
          <w:szCs w:val="24"/>
        </w:rPr>
        <w:t>8</w:t>
      </w:r>
      <w:r w:rsidRPr="0017298B">
        <w:rPr>
          <w:rFonts w:ascii="Times New Roman" w:hAnsi="Times New Roman" w:cs="Times New Roman"/>
          <w:b/>
          <w:sz w:val="24"/>
          <w:szCs w:val="24"/>
        </w:rPr>
        <w:t>,</w:t>
      </w:r>
      <w:r w:rsidR="001F395C">
        <w:rPr>
          <w:rFonts w:ascii="Times New Roman" w:hAnsi="Times New Roman" w:cs="Times New Roman"/>
          <w:b/>
          <w:sz w:val="24"/>
          <w:szCs w:val="24"/>
        </w:rPr>
        <w:t xml:space="preserve"> </w:t>
      </w:r>
      <w:r w:rsidR="00893B3E">
        <w:rPr>
          <w:rFonts w:ascii="Times New Roman" w:hAnsi="Times New Roman" w:cs="Times New Roman"/>
          <w:b/>
          <w:sz w:val="24"/>
          <w:szCs w:val="24"/>
        </w:rPr>
        <w:t>9</w:t>
      </w:r>
      <w:r w:rsidR="001F395C">
        <w:rPr>
          <w:rFonts w:ascii="Times New Roman" w:hAnsi="Times New Roman" w:cs="Times New Roman"/>
          <w:b/>
          <w:sz w:val="24"/>
          <w:szCs w:val="24"/>
        </w:rPr>
        <w:t>,</w:t>
      </w:r>
      <w:r w:rsidR="0067507F">
        <w:rPr>
          <w:rFonts w:ascii="Times New Roman" w:hAnsi="Times New Roman" w:cs="Times New Roman"/>
          <w:b/>
          <w:sz w:val="24"/>
          <w:szCs w:val="24"/>
        </w:rPr>
        <w:t xml:space="preserve"> </w:t>
      </w:r>
      <w:r w:rsidR="00893B3E">
        <w:rPr>
          <w:rFonts w:ascii="Times New Roman" w:hAnsi="Times New Roman" w:cs="Times New Roman"/>
          <w:b/>
          <w:sz w:val="24"/>
          <w:szCs w:val="24"/>
        </w:rPr>
        <w:t>10</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11</w:t>
      </w:r>
    </w:p>
    <w:p w14:paraId="3D9E31C5" w14:textId="77777777" w:rsidR="004A4612" w:rsidRDefault="004A4612" w:rsidP="00621D57">
      <w:pPr>
        <w:pStyle w:val="NoSpacing"/>
        <w:rPr>
          <w:rFonts w:ascii="Times New Roman" w:hAnsi="Times New Roman" w:cs="Times New Roman"/>
          <w:b/>
          <w:sz w:val="24"/>
          <w:szCs w:val="24"/>
        </w:rPr>
      </w:pPr>
    </w:p>
    <w:p w14:paraId="1775F56A" w14:textId="77777777" w:rsidR="00805DFF" w:rsidRPr="00476E33" w:rsidRDefault="00805DFF" w:rsidP="00805DFF">
      <w:pPr>
        <w:rPr>
          <w:sz w:val="24"/>
          <w:szCs w:val="24"/>
        </w:rPr>
      </w:pPr>
      <w:r w:rsidRPr="00476E33">
        <w:rPr>
          <w:sz w:val="24"/>
          <w:szCs w:val="24"/>
        </w:rPr>
        <w:t>EL 7 - FINANCIAL PLANNING/BUDGETING</w:t>
      </w:r>
    </w:p>
    <w:p w14:paraId="23549FAD" w14:textId="77777777" w:rsidR="00805DFF" w:rsidRPr="006C5205" w:rsidRDefault="00805DFF" w:rsidP="00805DFF">
      <w:pPr>
        <w:rPr>
          <w:sz w:val="24"/>
          <w:szCs w:val="24"/>
        </w:rPr>
      </w:pPr>
    </w:p>
    <w:p w14:paraId="007E8439" w14:textId="77777777" w:rsidR="00805DFF" w:rsidRPr="006C5205" w:rsidRDefault="00805DFF" w:rsidP="00805DFF">
      <w:pPr>
        <w:rPr>
          <w:sz w:val="24"/>
          <w:szCs w:val="24"/>
        </w:rPr>
      </w:pPr>
      <w:r w:rsidRPr="006C5205">
        <w:rPr>
          <w:sz w:val="24"/>
          <w:szCs w:val="24"/>
        </w:rPr>
        <w:t xml:space="preserve">Financial planning for any fiscal year or the remaining part of any fiscal year shall not deviate materially from the board's ENDS policies, risk fiscal jeopardy, </w:t>
      </w:r>
      <w:r w:rsidRPr="00D638BF">
        <w:rPr>
          <w:i/>
          <w:sz w:val="24"/>
          <w:szCs w:val="24"/>
        </w:rPr>
        <w:t>or fail to be derived from a multi-year plan</w:t>
      </w:r>
      <w:r w:rsidRPr="006C5205">
        <w:rPr>
          <w:sz w:val="24"/>
          <w:szCs w:val="24"/>
        </w:rPr>
        <w:t>.  Accordingly, the Director of Mission and Ministry shall not allow budgeting which:</w:t>
      </w:r>
    </w:p>
    <w:p w14:paraId="10A3200E" w14:textId="77777777" w:rsidR="00805DFF" w:rsidRPr="006C5205" w:rsidRDefault="00805DFF" w:rsidP="00805DFF">
      <w:pPr>
        <w:rPr>
          <w:sz w:val="24"/>
          <w:szCs w:val="24"/>
        </w:rPr>
      </w:pPr>
    </w:p>
    <w:p w14:paraId="5D11660B" w14:textId="77777777" w:rsidR="00805DFF" w:rsidRPr="009308D7" w:rsidRDefault="00805DFF" w:rsidP="00805DFF">
      <w:pPr>
        <w:pStyle w:val="ListParagraph"/>
        <w:numPr>
          <w:ilvl w:val="0"/>
          <w:numId w:val="17"/>
        </w:numPr>
      </w:pPr>
      <w:r w:rsidRPr="009308D7">
        <w:t>Fails to include a credible projection of revenues and expenses; separation of capital, restricted, and operational items; cash flow; and disclosure of planning assumptions;</w:t>
      </w:r>
    </w:p>
    <w:p w14:paraId="7F8498BC" w14:textId="77777777" w:rsidR="00805DFF" w:rsidRDefault="00805DFF" w:rsidP="00805DFF">
      <w:pPr>
        <w:pStyle w:val="ListParagraph"/>
        <w:numPr>
          <w:ilvl w:val="0"/>
          <w:numId w:val="17"/>
        </w:numPr>
      </w:pPr>
      <w:r>
        <w:t>Approval Levels for non-budgeted or items materially exceeding budget:</w:t>
      </w:r>
    </w:p>
    <w:p w14:paraId="1CE459A3" w14:textId="77777777" w:rsidR="00805DFF" w:rsidRDefault="00805DFF" w:rsidP="00805DFF">
      <w:pPr>
        <w:pStyle w:val="ListParagraph"/>
      </w:pPr>
      <w:r>
        <w:t>Under</w:t>
      </w:r>
      <w:r>
        <w:tab/>
        <w:t>$10,000</w:t>
      </w:r>
      <w:r>
        <w:tab/>
        <w:t>Director of Mission and Ministry</w:t>
      </w:r>
    </w:p>
    <w:p w14:paraId="7F4F8712" w14:textId="407C580C" w:rsidR="00805DFF" w:rsidRDefault="00805DFF" w:rsidP="00805DFF">
      <w:pPr>
        <w:pStyle w:val="ListParagraph"/>
      </w:pPr>
      <w:r>
        <w:t xml:space="preserve">Over </w:t>
      </w:r>
      <w:r>
        <w:tab/>
        <w:t>$10,000</w:t>
      </w:r>
      <w:r>
        <w:tab/>
        <w:t>Dire</w:t>
      </w:r>
      <w:r w:rsidR="00910BBE">
        <w:t>ctor of Mission and Ministry + F</w:t>
      </w:r>
      <w:r>
        <w:t xml:space="preserve">inance / Audit committee </w:t>
      </w:r>
    </w:p>
    <w:p w14:paraId="28FDBAF9" w14:textId="77777777" w:rsidR="00805DFF" w:rsidRPr="009308D7" w:rsidRDefault="00805DFF" w:rsidP="00805DFF">
      <w:pPr>
        <w:pStyle w:val="ListParagraph"/>
      </w:pPr>
      <w:r>
        <w:t>Over</w:t>
      </w:r>
      <w:r>
        <w:tab/>
        <w:t>$100,000</w:t>
      </w:r>
      <w:r>
        <w:tab/>
        <w:t>Director of Mission and Ministry + Treasurer</w:t>
      </w:r>
    </w:p>
    <w:p w14:paraId="681BD864" w14:textId="46932EC4" w:rsidR="004A4612" w:rsidRDefault="004A4612" w:rsidP="00805DFF">
      <w:pPr>
        <w:pStyle w:val="ListParagraph"/>
        <w:ind w:left="855"/>
        <w:rPr>
          <w:spacing w:val="-7"/>
        </w:rPr>
      </w:pPr>
    </w:p>
    <w:p w14:paraId="006F2B9D" w14:textId="0FF7BEFA" w:rsidR="004A4612" w:rsidRDefault="00476E33" w:rsidP="001338C5">
      <w:pPr>
        <w:ind w:left="720"/>
        <w:rPr>
          <w:sz w:val="24"/>
          <w:szCs w:val="24"/>
        </w:rPr>
      </w:pPr>
      <w:r>
        <w:rPr>
          <w:sz w:val="24"/>
          <w:szCs w:val="24"/>
          <w:u w:val="single"/>
        </w:rPr>
        <w:t>Reasonable i</w:t>
      </w:r>
      <w:r w:rsidR="00805DFF" w:rsidRPr="00805DFF">
        <w:rPr>
          <w:sz w:val="24"/>
          <w:szCs w:val="24"/>
          <w:u w:val="single"/>
        </w:rPr>
        <w:t>nterpretation</w:t>
      </w:r>
      <w:r>
        <w:rPr>
          <w:sz w:val="24"/>
          <w:szCs w:val="24"/>
          <w:u w:val="single"/>
        </w:rPr>
        <w:t xml:space="preserve"> of this policy</w:t>
      </w:r>
      <w:r w:rsidR="00805DFF" w:rsidRPr="00D638BF">
        <w:rPr>
          <w:sz w:val="24"/>
          <w:szCs w:val="24"/>
        </w:rPr>
        <w:t>:</w:t>
      </w:r>
      <w:r w:rsidR="00D638BF" w:rsidRPr="00D638BF">
        <w:rPr>
          <w:sz w:val="24"/>
          <w:szCs w:val="24"/>
        </w:rPr>
        <w:t xml:space="preserve"> Create</w:t>
      </w:r>
      <w:r w:rsidR="00D638BF">
        <w:rPr>
          <w:sz w:val="24"/>
          <w:szCs w:val="24"/>
        </w:rPr>
        <w:t xml:space="preserve"> capital and operating budgets that are realistic and adhered to throughout the fiscal year.  </w:t>
      </w:r>
      <w:r w:rsidR="007A7F25">
        <w:rPr>
          <w:sz w:val="24"/>
          <w:szCs w:val="24"/>
        </w:rPr>
        <w:t xml:space="preserve">Forecast cash flow and adjust it throughout the year using it as a tool for financial decision making.  Just because we have a line item in a budget does not mean we have the funds to make it happen.  </w:t>
      </w:r>
      <w:r w:rsidR="00D638BF">
        <w:rPr>
          <w:sz w:val="24"/>
          <w:szCs w:val="24"/>
        </w:rPr>
        <w:t>Also</w:t>
      </w:r>
      <w:r w:rsidR="00DF0D44">
        <w:rPr>
          <w:sz w:val="24"/>
          <w:szCs w:val="24"/>
        </w:rPr>
        <w:t>,</w:t>
      </w:r>
      <w:r w:rsidR="00D638BF">
        <w:rPr>
          <w:sz w:val="24"/>
          <w:szCs w:val="24"/>
        </w:rPr>
        <w:t xml:space="preserve"> </w:t>
      </w:r>
      <w:r w:rsidR="00DF0D44">
        <w:rPr>
          <w:sz w:val="24"/>
          <w:szCs w:val="24"/>
        </w:rPr>
        <w:t>to follow the guidelines for approvals for any non-budgeted items materially exceeding the budget.</w:t>
      </w:r>
    </w:p>
    <w:p w14:paraId="74969F1E" w14:textId="57A14870" w:rsidR="00D638BF" w:rsidRDefault="007A7F25" w:rsidP="001338C5">
      <w:pPr>
        <w:ind w:left="720"/>
        <w:rPr>
          <w:sz w:val="24"/>
          <w:szCs w:val="24"/>
        </w:rPr>
      </w:pPr>
      <w:r w:rsidRPr="007A7F25">
        <w:rPr>
          <w:sz w:val="24"/>
          <w:szCs w:val="24"/>
        </w:rPr>
        <w:t>Compliance to this</w:t>
      </w:r>
      <w:r w:rsidR="00177A51">
        <w:rPr>
          <w:sz w:val="24"/>
          <w:szCs w:val="24"/>
        </w:rPr>
        <w:t xml:space="preserve"> policy would be evidenced by a well thought out and justifiable budget reviewed by the Finance and Audit committee and approved by the Provinc</w:t>
      </w:r>
      <w:r w:rsidR="002F08A3">
        <w:rPr>
          <w:sz w:val="24"/>
          <w:szCs w:val="24"/>
        </w:rPr>
        <w:t>ial Council</w:t>
      </w:r>
      <w:r w:rsidR="00177A51">
        <w:rPr>
          <w:sz w:val="24"/>
          <w:szCs w:val="24"/>
        </w:rPr>
        <w:t>.  Also any material deviation from the budget being noted and discussed in meetings with the Finance and Audit committee to promote transparency.  Having the appropriate documentation for any non-budgeted material expense.</w:t>
      </w:r>
    </w:p>
    <w:p w14:paraId="0ED41AF4" w14:textId="2DBD6F62" w:rsidR="00870EE8" w:rsidRDefault="00870EE8" w:rsidP="001338C5">
      <w:pPr>
        <w:ind w:left="720"/>
        <w:rPr>
          <w:sz w:val="24"/>
          <w:szCs w:val="24"/>
        </w:rPr>
      </w:pPr>
      <w:r>
        <w:rPr>
          <w:sz w:val="24"/>
          <w:szCs w:val="24"/>
        </w:rPr>
        <w:t xml:space="preserve">Question – in regard to this phrase </w:t>
      </w:r>
      <w:r w:rsidRPr="00D638BF">
        <w:rPr>
          <w:i/>
          <w:sz w:val="24"/>
          <w:szCs w:val="24"/>
        </w:rPr>
        <w:t>or fail to be derived from a multi-year plan</w:t>
      </w:r>
      <w:r>
        <w:rPr>
          <w:sz w:val="24"/>
          <w:szCs w:val="24"/>
        </w:rPr>
        <w:t>, it was not the case in the past and we need to know what is th</w:t>
      </w:r>
      <w:r w:rsidR="005737B1">
        <w:rPr>
          <w:sz w:val="24"/>
          <w:szCs w:val="24"/>
        </w:rPr>
        <w:t>e</w:t>
      </w:r>
      <w:r>
        <w:rPr>
          <w:sz w:val="24"/>
          <w:szCs w:val="24"/>
        </w:rPr>
        <w:t xml:space="preserve"> expectation?</w:t>
      </w:r>
    </w:p>
    <w:p w14:paraId="08B3766F" w14:textId="0B8BA979" w:rsidR="00177A51" w:rsidRPr="001338C5" w:rsidRDefault="001338C5" w:rsidP="004A4612">
      <w:pPr>
        <w:rPr>
          <w:sz w:val="24"/>
          <w:szCs w:val="24"/>
        </w:rPr>
      </w:pPr>
      <w:r w:rsidRPr="001338C5">
        <w:rPr>
          <w:sz w:val="24"/>
          <w:szCs w:val="24"/>
        </w:rPr>
        <w:t>To this end:</w:t>
      </w:r>
    </w:p>
    <w:p w14:paraId="72D5B4F2" w14:textId="341EE949" w:rsidR="001338C5" w:rsidRDefault="001338C5" w:rsidP="004A4612">
      <w:pPr>
        <w:rPr>
          <w:sz w:val="24"/>
          <w:szCs w:val="24"/>
        </w:rPr>
      </w:pPr>
      <w:r>
        <w:rPr>
          <w:sz w:val="24"/>
          <w:szCs w:val="24"/>
        </w:rPr>
        <w:tab/>
      </w:r>
      <w:r w:rsidR="00E7024A">
        <w:rPr>
          <w:sz w:val="24"/>
          <w:szCs w:val="24"/>
        </w:rPr>
        <w:t xml:space="preserve">We are in the midst of our budgeting process for fiscal 2019/2020.  We meet with all departments to get their input in order to have a good estimate of needs and expectations.  We have used this same process the past three years and have been in line (or better) with our budget each of those years.  When we have had large unbudgeted items we have informed the treasurer to be sure he is aware of the issue and reason.  This fiscal year we had </w:t>
      </w:r>
      <w:r w:rsidR="001A5DC7">
        <w:rPr>
          <w:sz w:val="24"/>
          <w:szCs w:val="24"/>
        </w:rPr>
        <w:t>a</w:t>
      </w:r>
      <w:r w:rsidR="00E7024A">
        <w:rPr>
          <w:sz w:val="24"/>
          <w:szCs w:val="24"/>
        </w:rPr>
        <w:t xml:space="preserve"> sink hole open in the parking lot and our treasurer was promptly made aware of the issue and risk.  By the graciousness of a very generous benefactor the sink hole was explored and repaired.  Had this not been the case, we would have needed to get approval to remove money from our funds on deposit (reserve).  All restricted donations are accounted for in accordance with appropriate guidelines.  Our statement of cash flow is reviewed regularly by our Administrator as well as the Finance</w:t>
      </w:r>
      <w:r w:rsidR="0044150C">
        <w:rPr>
          <w:sz w:val="24"/>
          <w:szCs w:val="24"/>
        </w:rPr>
        <w:t xml:space="preserve"> and Audit</w:t>
      </w:r>
      <w:r w:rsidR="00E7024A">
        <w:rPr>
          <w:sz w:val="24"/>
          <w:szCs w:val="24"/>
        </w:rPr>
        <w:t xml:space="preserve"> committee.  </w:t>
      </w:r>
    </w:p>
    <w:p w14:paraId="2710F712" w14:textId="50E334B8" w:rsidR="00832416" w:rsidRPr="007A7F25" w:rsidRDefault="00832416" w:rsidP="004A4612">
      <w:pPr>
        <w:rPr>
          <w:sz w:val="24"/>
          <w:szCs w:val="24"/>
        </w:rPr>
      </w:pPr>
      <w:r>
        <w:rPr>
          <w:sz w:val="24"/>
          <w:szCs w:val="24"/>
        </w:rPr>
        <w:t>We are in compliance with this policy.</w:t>
      </w:r>
    </w:p>
    <w:p w14:paraId="390E6345" w14:textId="77777777" w:rsidR="004A4612" w:rsidRDefault="004A4612" w:rsidP="004A4612">
      <w:pPr>
        <w:rPr>
          <w:sz w:val="24"/>
          <w:szCs w:val="24"/>
        </w:rPr>
      </w:pPr>
    </w:p>
    <w:p w14:paraId="5C1D4789" w14:textId="7CD8DC62" w:rsidR="004A4612" w:rsidRDefault="00476E33" w:rsidP="009043A6">
      <w:pPr>
        <w:pStyle w:val="ListParagraph"/>
        <w:ind w:left="0"/>
      </w:pPr>
      <w:r>
        <w:t>E</w:t>
      </w:r>
      <w:r w:rsidR="004A4612">
        <w:t>L 8 - FINANCIAL CONDITIONS AND ACTIVITIES</w:t>
      </w:r>
    </w:p>
    <w:p w14:paraId="6A4E48B4" w14:textId="77777777" w:rsidR="004A4612" w:rsidRDefault="004A4612" w:rsidP="009043A6">
      <w:pPr>
        <w:pStyle w:val="ListParagraph"/>
        <w:ind w:left="0"/>
      </w:pPr>
    </w:p>
    <w:p w14:paraId="58481DD8" w14:textId="77777777" w:rsidR="004A4612" w:rsidRDefault="004A4612" w:rsidP="001C4249">
      <w:pPr>
        <w:pStyle w:val="ListParagraph"/>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5EB76AF" w14:textId="148CF837" w:rsidR="004A4612" w:rsidRDefault="004A4612" w:rsidP="001C4249">
      <w:pPr>
        <w:pStyle w:val="ListParagraph"/>
      </w:pPr>
      <w:r>
        <w:t>1. Acquire, encumber, or dispose of real property;</w:t>
      </w:r>
    </w:p>
    <w:p w14:paraId="1534F96F" w14:textId="5D48CB26" w:rsidR="004A4612" w:rsidRDefault="004A4612" w:rsidP="001C4249">
      <w:pPr>
        <w:pStyle w:val="ListParagraph"/>
      </w:pPr>
      <w:r>
        <w:t xml:space="preserve">2. Use any restricted funds for any other purpose than that designated by the donor(s); </w:t>
      </w:r>
    </w:p>
    <w:p w14:paraId="2C51D358" w14:textId="3F4BBCC5" w:rsidR="004A4612" w:rsidRDefault="004A4612" w:rsidP="001C4249">
      <w:pPr>
        <w:pStyle w:val="ListParagraph"/>
      </w:pPr>
      <w:r>
        <w:t>3. Fail to provide for the Board of Directors an annual external Audited Financial Statement or Review.</w:t>
      </w:r>
    </w:p>
    <w:p w14:paraId="5A259D66" w14:textId="114D6310" w:rsidR="004A4612" w:rsidRDefault="004A4612" w:rsidP="001C4249">
      <w:pPr>
        <w:pStyle w:val="ListParagraph"/>
      </w:pPr>
      <w:r>
        <w:t>4. Fail to provide programming in line with our Mission</w:t>
      </w:r>
    </w:p>
    <w:p w14:paraId="509D8149" w14:textId="2D9BCE4D" w:rsidR="00C41D1E" w:rsidRPr="00765AF7" w:rsidRDefault="00C41D1E" w:rsidP="001C4249">
      <w:pPr>
        <w:ind w:left="66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w:t>
      </w:r>
      <w:r w:rsidR="00495EFC">
        <w:rPr>
          <w:sz w:val="24"/>
          <w:szCs w:val="24"/>
        </w:rPr>
        <w:t xml:space="preserve">and Finance </w:t>
      </w:r>
      <w:r>
        <w:rPr>
          <w:sz w:val="24"/>
          <w:szCs w:val="24"/>
        </w:rPr>
        <w:t>committee and to the Province regularly.  Compliance is also achieved through an audit or review.</w:t>
      </w:r>
    </w:p>
    <w:p w14:paraId="63E60495" w14:textId="77777777" w:rsidR="00FC1467" w:rsidRDefault="00C41D1E" w:rsidP="009043A6">
      <w:pPr>
        <w:ind w:hanging="720"/>
        <w:rPr>
          <w:sz w:val="24"/>
          <w:szCs w:val="24"/>
        </w:rPr>
      </w:pPr>
      <w:r w:rsidRPr="00765AF7">
        <w:rPr>
          <w:sz w:val="24"/>
          <w:szCs w:val="24"/>
        </w:rPr>
        <w:tab/>
      </w:r>
    </w:p>
    <w:p w14:paraId="4575B359" w14:textId="0A4AC590" w:rsidR="00C41D1E" w:rsidRPr="00765AF7" w:rsidRDefault="00C41D1E" w:rsidP="00CC7A13">
      <w:pPr>
        <w:rPr>
          <w:sz w:val="24"/>
          <w:szCs w:val="24"/>
        </w:rPr>
      </w:pPr>
      <w:r w:rsidRPr="00765AF7">
        <w:rPr>
          <w:sz w:val="24"/>
          <w:szCs w:val="24"/>
        </w:rPr>
        <w:lastRenderedPageBreak/>
        <w:t>To this end:</w:t>
      </w:r>
    </w:p>
    <w:p w14:paraId="4F6E3167" w14:textId="1D4EC9B1" w:rsidR="00C41D1E" w:rsidRPr="00CC515E" w:rsidRDefault="00C41D1E" w:rsidP="00345EF2">
      <w:pPr>
        <w:numPr>
          <w:ilvl w:val="0"/>
          <w:numId w:val="4"/>
        </w:numPr>
        <w:ind w:left="360"/>
        <w:rPr>
          <w:sz w:val="24"/>
          <w:szCs w:val="24"/>
        </w:rPr>
      </w:pPr>
      <w:r>
        <w:rPr>
          <w:sz w:val="24"/>
          <w:szCs w:val="24"/>
        </w:rPr>
        <w:t>There is</w:t>
      </w:r>
      <w:r w:rsidRPr="00CC515E">
        <w:rPr>
          <w:sz w:val="24"/>
          <w:szCs w:val="24"/>
        </w:rPr>
        <w:t xml:space="preserve"> no </w:t>
      </w:r>
      <w:r>
        <w:rPr>
          <w:sz w:val="24"/>
          <w:szCs w:val="24"/>
        </w:rPr>
        <w:t xml:space="preserve">negative </w:t>
      </w:r>
      <w:r w:rsidRPr="00CC515E">
        <w:rPr>
          <w:sz w:val="24"/>
          <w:szCs w:val="24"/>
        </w:rPr>
        <w:t>material deviation of actual expenditures from the budget.</w:t>
      </w:r>
      <w:r>
        <w:rPr>
          <w:sz w:val="24"/>
          <w:szCs w:val="24"/>
        </w:rPr>
        <w:t xml:space="preserve"> </w:t>
      </w:r>
    </w:p>
    <w:p w14:paraId="516A0E9D" w14:textId="77777777" w:rsidR="00C41D1E" w:rsidRPr="00CC515E" w:rsidRDefault="00C41D1E" w:rsidP="00345EF2">
      <w:pPr>
        <w:numPr>
          <w:ilvl w:val="0"/>
          <w:numId w:val="4"/>
        </w:numPr>
        <w:ind w:left="360"/>
        <w:rPr>
          <w:sz w:val="24"/>
          <w:szCs w:val="24"/>
        </w:rPr>
      </w:pPr>
      <w:r w:rsidRPr="00CC515E">
        <w:rPr>
          <w:sz w:val="24"/>
          <w:szCs w:val="24"/>
        </w:rPr>
        <w:t>We have not acquired or disposed of any real property</w:t>
      </w:r>
      <w:r>
        <w:rPr>
          <w:sz w:val="24"/>
          <w:szCs w:val="24"/>
        </w:rPr>
        <w:t>.</w:t>
      </w:r>
    </w:p>
    <w:p w14:paraId="6CBF80D6" w14:textId="498F86E2" w:rsidR="00C41D1E" w:rsidRPr="00765AF7" w:rsidRDefault="00C41D1E" w:rsidP="00345EF2">
      <w:pPr>
        <w:numPr>
          <w:ilvl w:val="0"/>
          <w:numId w:val="4"/>
        </w:numPr>
        <w:ind w:left="360"/>
        <w:rPr>
          <w:sz w:val="24"/>
          <w:szCs w:val="24"/>
        </w:rPr>
      </w:pPr>
      <w:r w:rsidRPr="00765AF7">
        <w:rPr>
          <w:sz w:val="24"/>
          <w:szCs w:val="24"/>
        </w:rPr>
        <w:t>Gordon Advisors</w:t>
      </w:r>
      <w:r>
        <w:rPr>
          <w:sz w:val="24"/>
          <w:szCs w:val="24"/>
        </w:rPr>
        <w:t xml:space="preserve"> completed our audit and have </w:t>
      </w:r>
      <w:r w:rsidR="00E17A6F">
        <w:rPr>
          <w:sz w:val="24"/>
          <w:szCs w:val="24"/>
        </w:rPr>
        <w:t>issued an unmodified opinion</w:t>
      </w:r>
      <w:bookmarkStart w:id="0" w:name="_GoBack"/>
      <w:bookmarkEnd w:id="0"/>
      <w:r>
        <w:rPr>
          <w:sz w:val="24"/>
          <w:szCs w:val="24"/>
        </w:rPr>
        <w:t>.</w:t>
      </w:r>
    </w:p>
    <w:p w14:paraId="09BE8FDA" w14:textId="0AAEAEED" w:rsidR="00C41D1E" w:rsidRDefault="00C41D1E" w:rsidP="00345EF2">
      <w:pPr>
        <w:numPr>
          <w:ilvl w:val="0"/>
          <w:numId w:val="4"/>
        </w:numPr>
        <w:ind w:left="360"/>
        <w:rPr>
          <w:sz w:val="24"/>
          <w:szCs w:val="24"/>
        </w:rPr>
      </w:pPr>
      <w:r w:rsidRPr="00765AF7">
        <w:rPr>
          <w:sz w:val="24"/>
          <w:szCs w:val="24"/>
        </w:rPr>
        <w:t xml:space="preserve">All restricted funds </w:t>
      </w:r>
      <w:r w:rsidR="00345EF2">
        <w:rPr>
          <w:sz w:val="24"/>
          <w:szCs w:val="24"/>
        </w:rPr>
        <w:t xml:space="preserve">are </w:t>
      </w:r>
      <w:r w:rsidRPr="00765AF7">
        <w:rPr>
          <w:sz w:val="24"/>
          <w:szCs w:val="24"/>
        </w:rPr>
        <w:t xml:space="preserve">utilized in accord with the donor’s specifications.  The </w:t>
      </w:r>
      <w:r w:rsidR="00495EFC">
        <w:rPr>
          <w:sz w:val="24"/>
          <w:szCs w:val="24"/>
        </w:rPr>
        <w:t>F</w:t>
      </w:r>
      <w:r w:rsidRPr="00765AF7">
        <w:rPr>
          <w:sz w:val="24"/>
          <w:szCs w:val="24"/>
        </w:rPr>
        <w:t xml:space="preserve">inance and </w:t>
      </w:r>
      <w:r w:rsidR="00495EFC">
        <w:rPr>
          <w:sz w:val="24"/>
          <w:szCs w:val="24"/>
        </w:rPr>
        <w:t>A</w:t>
      </w:r>
      <w:r w:rsidRPr="00765AF7">
        <w:rPr>
          <w:sz w:val="24"/>
          <w:szCs w:val="24"/>
        </w:rPr>
        <w:t xml:space="preserve">udit committee review and inspect detailed financial records </w:t>
      </w:r>
      <w:r w:rsidR="00495EFC">
        <w:rPr>
          <w:sz w:val="24"/>
          <w:szCs w:val="24"/>
        </w:rPr>
        <w:t>regularly</w:t>
      </w:r>
      <w:r w:rsidRPr="00765AF7">
        <w:rPr>
          <w:sz w:val="24"/>
          <w:szCs w:val="24"/>
        </w:rPr>
        <w:t>.</w:t>
      </w:r>
    </w:p>
    <w:p w14:paraId="41953EF4" w14:textId="77777777" w:rsidR="00CC7A13" w:rsidRDefault="00C41D1E" w:rsidP="00CC7A13">
      <w:pPr>
        <w:numPr>
          <w:ilvl w:val="0"/>
          <w:numId w:val="4"/>
        </w:numPr>
        <w:ind w:left="360"/>
        <w:rPr>
          <w:sz w:val="24"/>
          <w:szCs w:val="24"/>
        </w:rPr>
      </w:pPr>
      <w:r>
        <w:rPr>
          <w:sz w:val="24"/>
          <w:szCs w:val="24"/>
        </w:rPr>
        <w:t>Hosted groups and Passionist programmi</w:t>
      </w:r>
      <w:r w:rsidR="00CC7A13">
        <w:rPr>
          <w:sz w:val="24"/>
          <w:szCs w:val="24"/>
        </w:rPr>
        <w:t>ng are in line with our Mission.</w:t>
      </w:r>
    </w:p>
    <w:p w14:paraId="3C1218D0" w14:textId="159CF008" w:rsidR="00C41D1E" w:rsidRPr="00CC7A13" w:rsidRDefault="00C41D1E" w:rsidP="00CC7A13">
      <w:pPr>
        <w:rPr>
          <w:sz w:val="24"/>
          <w:szCs w:val="24"/>
        </w:rPr>
      </w:pPr>
      <w:r w:rsidRPr="00CC7A13">
        <w:rPr>
          <w:sz w:val="24"/>
          <w:szCs w:val="24"/>
        </w:rPr>
        <w:t>We are in compliance with this policy.</w:t>
      </w:r>
    </w:p>
    <w:p w14:paraId="01CB645B" w14:textId="77777777" w:rsidR="001338C5" w:rsidRDefault="001338C5" w:rsidP="00476E33">
      <w:pPr>
        <w:rPr>
          <w:sz w:val="24"/>
          <w:szCs w:val="24"/>
        </w:rPr>
      </w:pPr>
    </w:p>
    <w:p w14:paraId="1E89CF75" w14:textId="77777777" w:rsidR="00476E33" w:rsidRPr="00476E33" w:rsidRDefault="00476E33" w:rsidP="00476E33">
      <w:pPr>
        <w:rPr>
          <w:sz w:val="24"/>
          <w:szCs w:val="24"/>
        </w:rPr>
      </w:pPr>
      <w:r w:rsidRPr="00476E33">
        <w:rPr>
          <w:sz w:val="24"/>
          <w:szCs w:val="24"/>
        </w:rPr>
        <w:t>EL 9 - ASSET PROTECTION</w:t>
      </w:r>
    </w:p>
    <w:p w14:paraId="27E87F51" w14:textId="77777777" w:rsidR="00476E33" w:rsidRPr="006C5205" w:rsidRDefault="00476E33" w:rsidP="00476E33">
      <w:pPr>
        <w:rPr>
          <w:sz w:val="24"/>
          <w:szCs w:val="24"/>
        </w:rPr>
      </w:pPr>
    </w:p>
    <w:p w14:paraId="1D6908AA" w14:textId="77777777" w:rsidR="00476E33" w:rsidRPr="006C5205" w:rsidRDefault="00476E33" w:rsidP="00476E33">
      <w:pPr>
        <w:rPr>
          <w:sz w:val="24"/>
          <w:szCs w:val="24"/>
        </w:rPr>
      </w:pPr>
      <w:r w:rsidRPr="006C5205">
        <w:rPr>
          <w:sz w:val="24"/>
          <w:szCs w:val="24"/>
        </w:rPr>
        <w:t>The Director of Mission and Ministry shall not allow corporate assets to be unprotected, inadequately maintained, or exposed to unnecessary risk.  Accordingly, the Director of Mission and Ministry shall not fail to:</w:t>
      </w:r>
    </w:p>
    <w:p w14:paraId="617E2B1C" w14:textId="77777777" w:rsidR="00476E33" w:rsidRPr="006C5205" w:rsidRDefault="00476E33" w:rsidP="00476E33">
      <w:pPr>
        <w:rPr>
          <w:sz w:val="24"/>
          <w:szCs w:val="24"/>
        </w:rPr>
      </w:pPr>
    </w:p>
    <w:p w14:paraId="4048CAB5" w14:textId="77777777" w:rsidR="00476E33" w:rsidRPr="002D0BFC" w:rsidRDefault="00476E33" w:rsidP="00476E33">
      <w:pPr>
        <w:pStyle w:val="ListParagraph"/>
        <w:numPr>
          <w:ilvl w:val="0"/>
          <w:numId w:val="19"/>
        </w:numPr>
      </w:pPr>
      <w:r w:rsidRPr="002D0BFC">
        <w:t>Ensure against theft and property losses up to 100% replacement value (if reasonably available) and against liability losses of the board members, staff, and the organization in regard to normal center activities up to the maximum available offered by the Christian Brothers Risk Pooling Trust or other Province approved insurance company;</w:t>
      </w:r>
    </w:p>
    <w:p w14:paraId="43954D0F" w14:textId="77777777" w:rsidR="00476E33" w:rsidRPr="002D0BFC" w:rsidRDefault="00476E33" w:rsidP="00476E33">
      <w:pPr>
        <w:pStyle w:val="ListParagraph"/>
        <w:numPr>
          <w:ilvl w:val="0"/>
          <w:numId w:val="19"/>
        </w:numPr>
      </w:pPr>
      <w:r w:rsidRPr="002D0BFC">
        <w:t xml:space="preserve">Maintain the Center’s physical facilities, grounds, and equipment in a safe, functional, </w:t>
      </w:r>
      <w:r>
        <w:t xml:space="preserve">sustainable </w:t>
      </w:r>
      <w:r w:rsidRPr="002D0BFC">
        <w:t>and aesthetically pleasing condition;</w:t>
      </w:r>
    </w:p>
    <w:p w14:paraId="51BA00FB" w14:textId="77777777" w:rsidR="00476E33" w:rsidRPr="002D0BFC" w:rsidRDefault="00476E33" w:rsidP="00476E33">
      <w:pPr>
        <w:pStyle w:val="ListParagraph"/>
        <w:numPr>
          <w:ilvl w:val="0"/>
          <w:numId w:val="19"/>
        </w:numPr>
      </w:pPr>
      <w:r w:rsidRPr="002D0BFC">
        <w:t>Maintain a Reserve Study detailing the service life and replacement cost of all facilities and equipment;</w:t>
      </w:r>
    </w:p>
    <w:p w14:paraId="67C4706D" w14:textId="77777777" w:rsidR="00476E33" w:rsidRPr="002D0BFC" w:rsidRDefault="00476E33" w:rsidP="00476E33">
      <w:pPr>
        <w:pStyle w:val="ListParagraph"/>
        <w:numPr>
          <w:ilvl w:val="0"/>
          <w:numId w:val="19"/>
        </w:numPr>
      </w:pPr>
      <w:r w:rsidRPr="002D0BFC">
        <w:t>Unnecessarily expose the organization, the board, or staff to claims of liability;</w:t>
      </w:r>
    </w:p>
    <w:p w14:paraId="7619FE3B" w14:textId="77777777" w:rsidR="00476E33" w:rsidRPr="00F33BD4" w:rsidRDefault="00476E33" w:rsidP="00476E33">
      <w:pPr>
        <w:pStyle w:val="ListParagraph"/>
        <w:numPr>
          <w:ilvl w:val="0"/>
          <w:numId w:val="19"/>
        </w:numPr>
      </w:pPr>
      <w:r w:rsidRPr="00F33BD4">
        <w:t>Protect intellectual property, records, files (including but not limited to Board meeting minutes, leases, contracts and other records as required by law), or computer based information systems from loss or significant damage;</w:t>
      </w:r>
    </w:p>
    <w:p w14:paraId="5E3B0834" w14:textId="77777777" w:rsidR="00476E33" w:rsidRPr="002D0BFC" w:rsidRDefault="00476E33" w:rsidP="00476E33">
      <w:pPr>
        <w:pStyle w:val="ListParagraph"/>
        <w:numPr>
          <w:ilvl w:val="0"/>
          <w:numId w:val="19"/>
        </w:numPr>
      </w:pPr>
      <w:r w:rsidRPr="002D0BFC">
        <w:t>Hold local operating cash funds in insecure instruments, including uninsured checking, savings, or certificate accounts at any time or in non-interest-bearing accounts except where necessary to facilitate ease in operational transactions;</w:t>
      </w:r>
    </w:p>
    <w:p w14:paraId="19B6ACF4" w14:textId="77777777" w:rsidR="00476E33" w:rsidRPr="002D0BFC" w:rsidRDefault="00476E33" w:rsidP="00476E33">
      <w:pPr>
        <w:pStyle w:val="ListParagraph"/>
        <w:numPr>
          <w:ilvl w:val="0"/>
          <w:numId w:val="19"/>
        </w:numPr>
      </w:pPr>
      <w:r w:rsidRPr="002D0BFC">
        <w:t>Handle investments in accordance with Holy Cross Province’s Investment Policy</w:t>
      </w:r>
    </w:p>
    <w:p w14:paraId="1015BC00" w14:textId="77777777" w:rsidR="00476E33" w:rsidRDefault="00476E33" w:rsidP="00476E33">
      <w:pPr>
        <w:pStyle w:val="ListParagraph"/>
        <w:numPr>
          <w:ilvl w:val="0"/>
          <w:numId w:val="19"/>
        </w:numPr>
      </w:pPr>
      <w:r w:rsidRPr="002D0BFC">
        <w:t>Make reasonable efforts to assure that the terms of the lease of property from the SPC Community be secured and in the long-term interest of the Center.</w:t>
      </w:r>
    </w:p>
    <w:p w14:paraId="00D5008A" w14:textId="7CEAD3C3" w:rsidR="00C9783A" w:rsidRDefault="00076879" w:rsidP="00076879">
      <w:pPr>
        <w:rPr>
          <w:sz w:val="24"/>
          <w:szCs w:val="24"/>
        </w:rPr>
      </w:pPr>
      <w:r w:rsidRPr="00076879">
        <w:rPr>
          <w:sz w:val="24"/>
          <w:szCs w:val="24"/>
          <w:u w:val="single"/>
        </w:rPr>
        <w:t>Reasonable interpretation of this policy</w:t>
      </w:r>
      <w:r>
        <w:rPr>
          <w:sz w:val="24"/>
          <w:szCs w:val="24"/>
        </w:rPr>
        <w:t xml:space="preserve">: </w:t>
      </w:r>
      <w:r w:rsidR="00C9783A">
        <w:rPr>
          <w:sz w:val="24"/>
          <w:szCs w:val="24"/>
        </w:rPr>
        <w:t xml:space="preserve">Maintain our insurance policies and review them periodically.  </w:t>
      </w:r>
      <w:r w:rsidR="006E36DB">
        <w:rPr>
          <w:sz w:val="24"/>
          <w:szCs w:val="24"/>
        </w:rPr>
        <w:t xml:space="preserve">Maintain the physical space, number 3 we have a proposed change.  Number 4 we would like some clarification, while we would not intentionally expose the organization to liability, </w:t>
      </w:r>
      <w:r w:rsidR="00CC7A13">
        <w:rPr>
          <w:sz w:val="24"/>
          <w:szCs w:val="24"/>
        </w:rPr>
        <w:t>what would be an example of exposing</w:t>
      </w:r>
      <w:r w:rsidR="006E36DB">
        <w:rPr>
          <w:sz w:val="24"/>
          <w:szCs w:val="24"/>
        </w:rPr>
        <w:t xml:space="preserve"> the staff to liability?  Also</w:t>
      </w:r>
      <w:r w:rsidR="00CC7A13">
        <w:rPr>
          <w:sz w:val="24"/>
          <w:szCs w:val="24"/>
        </w:rPr>
        <w:t xml:space="preserve"> proposed</w:t>
      </w:r>
      <w:r w:rsidR="00C9783A">
        <w:rPr>
          <w:sz w:val="24"/>
          <w:szCs w:val="24"/>
        </w:rPr>
        <w:t xml:space="preserve"> </w:t>
      </w:r>
      <w:r w:rsidR="006E36DB">
        <w:rPr>
          <w:sz w:val="24"/>
          <w:szCs w:val="24"/>
        </w:rPr>
        <w:t>w</w:t>
      </w:r>
      <w:r w:rsidR="00C9783A">
        <w:rPr>
          <w:sz w:val="24"/>
          <w:szCs w:val="24"/>
        </w:rPr>
        <w:t>ording changes suggested:</w:t>
      </w:r>
    </w:p>
    <w:p w14:paraId="4458494C" w14:textId="77777777" w:rsidR="00CC7A13" w:rsidRDefault="00C9783A" w:rsidP="00076879">
      <w:pPr>
        <w:rPr>
          <w:sz w:val="24"/>
          <w:szCs w:val="24"/>
        </w:rPr>
      </w:pPr>
      <w:r>
        <w:rPr>
          <w:sz w:val="24"/>
          <w:szCs w:val="24"/>
        </w:rPr>
        <w:t xml:space="preserve">#4 – remove unnecessarily or change the premise of </w:t>
      </w:r>
      <w:r w:rsidR="00CC7A13">
        <w:rPr>
          <w:sz w:val="24"/>
          <w:szCs w:val="24"/>
        </w:rPr>
        <w:t>‘</w:t>
      </w:r>
      <w:r w:rsidRPr="00CC7A13">
        <w:rPr>
          <w:i/>
          <w:sz w:val="24"/>
          <w:szCs w:val="24"/>
        </w:rPr>
        <w:t>shall</w:t>
      </w:r>
      <w:r w:rsidR="00CC7A13" w:rsidRPr="00CC7A13">
        <w:rPr>
          <w:i/>
          <w:sz w:val="24"/>
          <w:szCs w:val="24"/>
        </w:rPr>
        <w:t xml:space="preserve"> </w:t>
      </w:r>
      <w:r w:rsidRPr="00CC7A13">
        <w:rPr>
          <w:i/>
          <w:sz w:val="24"/>
          <w:szCs w:val="24"/>
        </w:rPr>
        <w:t>not fail to</w:t>
      </w:r>
      <w:r w:rsidR="000911C2" w:rsidRPr="00CC7A13">
        <w:rPr>
          <w:i/>
          <w:sz w:val="24"/>
          <w:szCs w:val="24"/>
        </w:rPr>
        <w:t>’</w:t>
      </w:r>
      <w:r w:rsidR="000911C2">
        <w:rPr>
          <w:sz w:val="24"/>
          <w:szCs w:val="24"/>
        </w:rPr>
        <w:t xml:space="preserve"> this </w:t>
      </w:r>
      <w:r w:rsidR="00CC7A13">
        <w:rPr>
          <w:sz w:val="24"/>
          <w:szCs w:val="24"/>
        </w:rPr>
        <w:t xml:space="preserve">also </w:t>
      </w:r>
      <w:r w:rsidR="000911C2">
        <w:rPr>
          <w:sz w:val="24"/>
          <w:szCs w:val="24"/>
        </w:rPr>
        <w:t>pertains</w:t>
      </w:r>
      <w:r>
        <w:rPr>
          <w:sz w:val="24"/>
          <w:szCs w:val="24"/>
        </w:rPr>
        <w:t xml:space="preserve"> </w:t>
      </w:r>
      <w:r w:rsidR="00CC7A13">
        <w:rPr>
          <w:sz w:val="24"/>
          <w:szCs w:val="24"/>
        </w:rPr>
        <w:t>to</w:t>
      </w:r>
      <w:r>
        <w:rPr>
          <w:sz w:val="24"/>
          <w:szCs w:val="24"/>
        </w:rPr>
        <w:t xml:space="preserve"> </w:t>
      </w:r>
      <w:r w:rsidR="000911C2">
        <w:rPr>
          <w:sz w:val="24"/>
          <w:szCs w:val="24"/>
        </w:rPr>
        <w:t>#</w:t>
      </w:r>
      <w:r>
        <w:rPr>
          <w:sz w:val="24"/>
          <w:szCs w:val="24"/>
        </w:rPr>
        <w:t xml:space="preserve"> 6 </w:t>
      </w:r>
      <w:r w:rsidR="000911C2">
        <w:rPr>
          <w:sz w:val="24"/>
          <w:szCs w:val="24"/>
        </w:rPr>
        <w:t xml:space="preserve">it </w:t>
      </w:r>
      <w:r>
        <w:rPr>
          <w:sz w:val="24"/>
          <w:szCs w:val="24"/>
        </w:rPr>
        <w:t xml:space="preserve">should be re-stated as we do not want to hold funds in insecure instruments.  </w:t>
      </w:r>
      <w:r w:rsidR="00C976AA">
        <w:rPr>
          <w:sz w:val="24"/>
          <w:szCs w:val="24"/>
        </w:rPr>
        <w:t xml:space="preserve">So perhaps break these two out as </w:t>
      </w:r>
      <w:r w:rsidR="00C976AA" w:rsidRPr="00CC7A13">
        <w:rPr>
          <w:i/>
          <w:sz w:val="24"/>
          <w:szCs w:val="24"/>
        </w:rPr>
        <w:t>shall not</w:t>
      </w:r>
      <w:r w:rsidR="00C976AA">
        <w:rPr>
          <w:sz w:val="24"/>
          <w:szCs w:val="24"/>
        </w:rPr>
        <w:t xml:space="preserve"> rather than shall not fail to.</w:t>
      </w:r>
      <w:r w:rsidR="006E36DB">
        <w:rPr>
          <w:sz w:val="24"/>
          <w:szCs w:val="24"/>
        </w:rPr>
        <w:t xml:space="preserve"> </w:t>
      </w:r>
    </w:p>
    <w:p w14:paraId="40175634" w14:textId="0A00C992" w:rsidR="00076879" w:rsidRDefault="006E36DB" w:rsidP="00076879">
      <w:pPr>
        <w:rPr>
          <w:sz w:val="24"/>
          <w:szCs w:val="24"/>
        </w:rPr>
      </w:pPr>
      <w:r>
        <w:rPr>
          <w:sz w:val="24"/>
          <w:szCs w:val="24"/>
        </w:rPr>
        <w:t>Keep our important files safe and protect our critical operational data. Hold our cash in secure instruments and handle all our investments in accord with the Provincial policy.  Renew our lease as it comes due.</w:t>
      </w:r>
    </w:p>
    <w:p w14:paraId="2F157A50" w14:textId="0B962A51" w:rsidR="00C976AA" w:rsidRDefault="00714743" w:rsidP="00076879">
      <w:pPr>
        <w:rPr>
          <w:sz w:val="24"/>
          <w:szCs w:val="24"/>
        </w:rPr>
      </w:pPr>
      <w:r w:rsidRPr="00A43F66">
        <w:rPr>
          <w:sz w:val="24"/>
          <w:szCs w:val="24"/>
        </w:rPr>
        <w:t xml:space="preserve">Compliance </w:t>
      </w:r>
      <w:r w:rsidR="00A43F66">
        <w:rPr>
          <w:sz w:val="24"/>
          <w:szCs w:val="24"/>
        </w:rPr>
        <w:t xml:space="preserve">is evidenced by our insurance policy being current and accurate.  Having our physical center’s appearance as evidence of being well cared for by our team and having a plan </w:t>
      </w:r>
      <w:r w:rsidR="00A43F66">
        <w:rPr>
          <w:sz w:val="24"/>
          <w:szCs w:val="24"/>
        </w:rPr>
        <w:lastRenderedPageBreak/>
        <w:t xml:space="preserve">for proper care and maintenance.  Engaging a company periodically to assess the service life of larger valued items. Protect records and files appropriately and have a process for timely destruction of antiquated records.  Do not invest outside of our policies and maintain only the current bank accounts.  Review the lease with the </w:t>
      </w:r>
      <w:r w:rsidR="00CC7A13">
        <w:rPr>
          <w:sz w:val="24"/>
          <w:szCs w:val="24"/>
        </w:rPr>
        <w:t>Provincial</w:t>
      </w:r>
      <w:r w:rsidR="00A43F66">
        <w:rPr>
          <w:sz w:val="24"/>
          <w:szCs w:val="24"/>
        </w:rPr>
        <w:t xml:space="preserve"> Council and negotiate </w:t>
      </w:r>
      <w:r w:rsidR="005D0BB6">
        <w:rPr>
          <w:sz w:val="24"/>
          <w:szCs w:val="24"/>
        </w:rPr>
        <w:t>its</w:t>
      </w:r>
      <w:r w:rsidR="00A43F66">
        <w:rPr>
          <w:sz w:val="24"/>
          <w:szCs w:val="24"/>
        </w:rPr>
        <w:t xml:space="preserve"> terms of renewal within 90 days of expiration.</w:t>
      </w:r>
      <w:r>
        <w:rPr>
          <w:sz w:val="24"/>
          <w:szCs w:val="24"/>
        </w:rPr>
        <w:t xml:space="preserve"> </w:t>
      </w:r>
    </w:p>
    <w:p w14:paraId="3CD72C3C" w14:textId="77777777" w:rsidR="00FD1477" w:rsidRDefault="00FD1477" w:rsidP="00076879">
      <w:pPr>
        <w:rPr>
          <w:sz w:val="24"/>
          <w:szCs w:val="24"/>
        </w:rPr>
      </w:pPr>
      <w:r>
        <w:rPr>
          <w:sz w:val="24"/>
          <w:szCs w:val="24"/>
        </w:rPr>
        <w:t>To this end:</w:t>
      </w:r>
    </w:p>
    <w:p w14:paraId="7A435942" w14:textId="08DE0E31" w:rsidR="00C9783A" w:rsidRDefault="00184EB3" w:rsidP="00076879">
      <w:pPr>
        <w:rPr>
          <w:sz w:val="24"/>
          <w:szCs w:val="24"/>
        </w:rPr>
      </w:pPr>
      <w:r>
        <w:rPr>
          <w:sz w:val="24"/>
          <w:szCs w:val="24"/>
        </w:rPr>
        <w:t>We r</w:t>
      </w:r>
      <w:r w:rsidR="00C9783A">
        <w:rPr>
          <w:sz w:val="24"/>
          <w:szCs w:val="24"/>
        </w:rPr>
        <w:t xml:space="preserve">eviewed all </w:t>
      </w:r>
      <w:r w:rsidR="00FD1477">
        <w:rPr>
          <w:sz w:val="24"/>
          <w:szCs w:val="24"/>
        </w:rPr>
        <w:t xml:space="preserve">insurance </w:t>
      </w:r>
      <w:r w:rsidR="00C9783A">
        <w:rPr>
          <w:sz w:val="24"/>
          <w:szCs w:val="24"/>
        </w:rPr>
        <w:t>schedules with Christian Brothers in October</w:t>
      </w:r>
      <w:r>
        <w:rPr>
          <w:sz w:val="24"/>
          <w:szCs w:val="24"/>
        </w:rPr>
        <w:t xml:space="preserve"> of 2018 and we added D&amp;O insurance to our policy in the fall of 2015</w:t>
      </w:r>
      <w:r w:rsidR="00FD1477">
        <w:rPr>
          <w:sz w:val="24"/>
          <w:szCs w:val="24"/>
        </w:rPr>
        <w:t xml:space="preserve"> with a $1,000,000 limit in place</w:t>
      </w:r>
      <w:r>
        <w:rPr>
          <w:sz w:val="24"/>
          <w:szCs w:val="24"/>
        </w:rPr>
        <w:t>.  Our facility supervisor and team maintain the facility in a safe and functional manner</w:t>
      </w:r>
      <w:r w:rsidR="00FD1477">
        <w:rPr>
          <w:sz w:val="24"/>
          <w:szCs w:val="24"/>
        </w:rPr>
        <w:t xml:space="preserve"> and follow maintenance routines for </w:t>
      </w:r>
      <w:r w:rsidR="006545A4">
        <w:rPr>
          <w:sz w:val="24"/>
          <w:szCs w:val="24"/>
        </w:rPr>
        <w:t>equipment</w:t>
      </w:r>
      <w:r>
        <w:rPr>
          <w:sz w:val="24"/>
          <w:szCs w:val="24"/>
        </w:rPr>
        <w:t>.</w:t>
      </w:r>
      <w:r w:rsidR="006545A4">
        <w:rPr>
          <w:sz w:val="24"/>
          <w:szCs w:val="24"/>
        </w:rPr>
        <w:t xml:space="preserve">  We also have a contract with our primary HVAC company to do regular maintenance for the heating and cooling systems.</w:t>
      </w:r>
      <w:r>
        <w:rPr>
          <w:sz w:val="24"/>
          <w:szCs w:val="24"/>
        </w:rPr>
        <w:t xml:space="preserve">  We have a benefactor who provides some lawn services during the </w:t>
      </w:r>
      <w:r w:rsidR="006545A4">
        <w:rPr>
          <w:sz w:val="24"/>
          <w:szCs w:val="24"/>
        </w:rPr>
        <w:t xml:space="preserve">spring and </w:t>
      </w:r>
      <w:r>
        <w:rPr>
          <w:sz w:val="24"/>
          <w:szCs w:val="24"/>
        </w:rPr>
        <w:t>summer months</w:t>
      </w:r>
      <w:r w:rsidR="006545A4">
        <w:rPr>
          <w:sz w:val="24"/>
          <w:szCs w:val="24"/>
        </w:rPr>
        <w:t xml:space="preserve"> to keep the grounds groomed</w:t>
      </w:r>
      <w:r>
        <w:rPr>
          <w:sz w:val="24"/>
          <w:szCs w:val="24"/>
        </w:rPr>
        <w:t>.  We had a study of our HVAC systems in 2016.  The replacement cost of equipment changes annually and in our opinion spending 15-20k on a study rather than replacing the worn out equipment does not always seem practical.  For larger items with longer life expectancies it makes sense.</w:t>
      </w:r>
      <w:r w:rsidR="004A74A5">
        <w:rPr>
          <w:sz w:val="24"/>
          <w:szCs w:val="24"/>
        </w:rPr>
        <w:t xml:space="preserve"> We have not and would not intentionally expose the organization to liability.  We maintain documents according to our </w:t>
      </w:r>
      <w:r w:rsidR="006545A4">
        <w:rPr>
          <w:sz w:val="24"/>
          <w:szCs w:val="24"/>
        </w:rPr>
        <w:t xml:space="preserve">document </w:t>
      </w:r>
      <w:r w:rsidR="004A74A5">
        <w:rPr>
          <w:sz w:val="24"/>
          <w:szCs w:val="24"/>
        </w:rPr>
        <w:t xml:space="preserve">retention policy.  </w:t>
      </w:r>
      <w:r w:rsidR="001112C5">
        <w:rPr>
          <w:sz w:val="24"/>
          <w:szCs w:val="24"/>
        </w:rPr>
        <w:t>We back up our server locally our email</w:t>
      </w:r>
      <w:r w:rsidR="006545A4">
        <w:rPr>
          <w:sz w:val="24"/>
          <w:szCs w:val="24"/>
        </w:rPr>
        <w:t>, payroll</w:t>
      </w:r>
      <w:r w:rsidR="001112C5">
        <w:rPr>
          <w:sz w:val="24"/>
          <w:szCs w:val="24"/>
        </w:rPr>
        <w:t xml:space="preserve"> and accounting system</w:t>
      </w:r>
      <w:r w:rsidR="006545A4">
        <w:rPr>
          <w:sz w:val="24"/>
          <w:szCs w:val="24"/>
        </w:rPr>
        <w:t>s</w:t>
      </w:r>
      <w:r w:rsidR="001112C5">
        <w:rPr>
          <w:sz w:val="24"/>
          <w:szCs w:val="24"/>
        </w:rPr>
        <w:t xml:space="preserve"> are hosted off site</w:t>
      </w:r>
      <w:r w:rsidR="006545A4">
        <w:rPr>
          <w:sz w:val="24"/>
          <w:szCs w:val="24"/>
        </w:rPr>
        <w:t xml:space="preserve"> and we do not store any credit card data</w:t>
      </w:r>
      <w:r w:rsidR="001112C5">
        <w:rPr>
          <w:sz w:val="24"/>
          <w:szCs w:val="24"/>
        </w:rPr>
        <w:t xml:space="preserve">.  </w:t>
      </w:r>
      <w:r w:rsidR="004D11C7">
        <w:rPr>
          <w:sz w:val="24"/>
          <w:szCs w:val="24"/>
        </w:rPr>
        <w:t>Our operating funds are located in Chicago and deposits are made directly to that account with check 21</w:t>
      </w:r>
      <w:r w:rsidR="006545A4">
        <w:rPr>
          <w:sz w:val="24"/>
          <w:szCs w:val="24"/>
        </w:rPr>
        <w:t xml:space="preserve"> (auto deposit capture)</w:t>
      </w:r>
      <w:r w:rsidR="004D11C7">
        <w:rPr>
          <w:sz w:val="24"/>
          <w:szCs w:val="24"/>
        </w:rPr>
        <w:t>.  The only accounts in Detroit are for cash funds which are then transferred to the Chicago account</w:t>
      </w:r>
      <w:r w:rsidR="006545A4">
        <w:rPr>
          <w:sz w:val="24"/>
          <w:szCs w:val="24"/>
        </w:rPr>
        <w:t xml:space="preserve"> consistently</w:t>
      </w:r>
      <w:r w:rsidR="004D11C7">
        <w:rPr>
          <w:sz w:val="24"/>
          <w:szCs w:val="24"/>
        </w:rPr>
        <w:t>. Our investments are with the Province and follow their guidelines</w:t>
      </w:r>
      <w:r w:rsidR="00854E9D">
        <w:rPr>
          <w:sz w:val="24"/>
          <w:szCs w:val="24"/>
        </w:rPr>
        <w:t>. W</w:t>
      </w:r>
      <w:r w:rsidR="006946C2">
        <w:rPr>
          <w:sz w:val="24"/>
          <w:szCs w:val="24"/>
        </w:rPr>
        <w:t>e have added to our reserve fund each year for the past three and presently have 800k on reserve</w:t>
      </w:r>
      <w:r w:rsidR="004D11C7">
        <w:rPr>
          <w:sz w:val="24"/>
          <w:szCs w:val="24"/>
        </w:rPr>
        <w:t>.</w:t>
      </w:r>
      <w:r w:rsidR="008E55ED">
        <w:rPr>
          <w:sz w:val="24"/>
          <w:szCs w:val="24"/>
        </w:rPr>
        <w:t xml:space="preserve"> Our lease had expired and was renegotiated in the fall of 2015 and expires in July 2020.  </w:t>
      </w:r>
    </w:p>
    <w:p w14:paraId="303F5CCD" w14:textId="43C906DF" w:rsidR="0020071E" w:rsidRPr="00076879" w:rsidRDefault="0020071E" w:rsidP="00076879">
      <w:pPr>
        <w:rPr>
          <w:sz w:val="24"/>
          <w:szCs w:val="24"/>
        </w:rPr>
      </w:pPr>
      <w:r>
        <w:rPr>
          <w:sz w:val="24"/>
          <w:szCs w:val="24"/>
        </w:rPr>
        <w:t>We are in compliance with these policies</w:t>
      </w:r>
    </w:p>
    <w:p w14:paraId="2CD9F7AF" w14:textId="77777777" w:rsidR="00476E33" w:rsidRPr="006C5205" w:rsidRDefault="00476E33" w:rsidP="00476E33">
      <w:pPr>
        <w:rPr>
          <w:sz w:val="24"/>
          <w:szCs w:val="24"/>
        </w:rPr>
      </w:pPr>
    </w:p>
    <w:p w14:paraId="40FFCA71" w14:textId="77777777" w:rsidR="00476E33" w:rsidRPr="00476E33" w:rsidRDefault="00476E33" w:rsidP="00476E33">
      <w:pPr>
        <w:rPr>
          <w:sz w:val="24"/>
          <w:szCs w:val="24"/>
        </w:rPr>
      </w:pPr>
      <w:r w:rsidRPr="00476E33">
        <w:rPr>
          <w:sz w:val="24"/>
          <w:szCs w:val="24"/>
        </w:rPr>
        <w:t>EL 10 - FUND RAISING AND DEVELOPMENT</w:t>
      </w:r>
    </w:p>
    <w:p w14:paraId="30063109" w14:textId="77777777" w:rsidR="00476E33" w:rsidRPr="006C5205" w:rsidRDefault="00476E33" w:rsidP="00476E33">
      <w:pPr>
        <w:rPr>
          <w:sz w:val="24"/>
          <w:szCs w:val="24"/>
        </w:rPr>
      </w:pPr>
    </w:p>
    <w:p w14:paraId="7893F3E4" w14:textId="77777777" w:rsidR="00476E33" w:rsidRPr="006C5205" w:rsidRDefault="00476E33" w:rsidP="00476E33">
      <w:pPr>
        <w:rPr>
          <w:sz w:val="24"/>
          <w:szCs w:val="24"/>
        </w:rPr>
      </w:pPr>
      <w:r w:rsidRPr="006C5205">
        <w:rPr>
          <w:sz w:val="24"/>
          <w:szCs w:val="24"/>
        </w:rPr>
        <w:t xml:space="preserve">With respect to the acquisition and allocation of funds received through fund raising activities or the Mission Advancement program, the Director of Mission and Ministry shall not cause or allow conditions, actions, procedures, or decisions </w:t>
      </w:r>
      <w:r>
        <w:rPr>
          <w:sz w:val="24"/>
          <w:szCs w:val="24"/>
        </w:rPr>
        <w:t xml:space="preserve">that </w:t>
      </w:r>
      <w:r w:rsidRPr="006C5205">
        <w:rPr>
          <w:sz w:val="24"/>
          <w:szCs w:val="24"/>
        </w:rPr>
        <w:t>are imprudent, illegal, and violate professional standards, ethical values, or relevant stewardship responsibilities. In addition, the Director of Mission and Ministry shall not fail to:</w:t>
      </w:r>
    </w:p>
    <w:p w14:paraId="5F0078EC" w14:textId="77777777" w:rsidR="00476E33" w:rsidRPr="006C5205" w:rsidRDefault="00476E33" w:rsidP="00476E33">
      <w:pPr>
        <w:rPr>
          <w:sz w:val="24"/>
          <w:szCs w:val="24"/>
        </w:rPr>
      </w:pPr>
    </w:p>
    <w:p w14:paraId="302BE2C2" w14:textId="77777777" w:rsidR="00476E33" w:rsidRDefault="00476E33" w:rsidP="00476E33">
      <w:pPr>
        <w:pStyle w:val="ListParagraph"/>
        <w:numPr>
          <w:ilvl w:val="0"/>
          <w:numId w:val="18"/>
        </w:numPr>
      </w:pPr>
      <w:r w:rsidRPr="009308D7">
        <w:t>Develop a fund raising and development program for the Retreat</w:t>
      </w:r>
      <w:r>
        <w:t xml:space="preserve"> Center’s current capital needs</w:t>
      </w:r>
    </w:p>
    <w:p w14:paraId="1EA6EAF8" w14:textId="77777777" w:rsidR="00476E33" w:rsidRPr="009308D7" w:rsidRDefault="00476E33" w:rsidP="00476E33">
      <w:pPr>
        <w:pStyle w:val="ListParagraph"/>
        <w:numPr>
          <w:ilvl w:val="0"/>
          <w:numId w:val="18"/>
        </w:numPr>
      </w:pPr>
      <w:r>
        <w:t>Ensure all gifts comply with the Provincial and Retreat Center Gift Acceptance Policy</w:t>
      </w:r>
    </w:p>
    <w:p w14:paraId="0490F24E" w14:textId="77777777" w:rsidR="00476E33" w:rsidRDefault="00476E33" w:rsidP="00476E33">
      <w:pPr>
        <w:pStyle w:val="ListParagraph"/>
        <w:numPr>
          <w:ilvl w:val="0"/>
          <w:numId w:val="18"/>
        </w:numPr>
      </w:pPr>
      <w:r>
        <w:t>Maintain compliance with National Catholic Development Conference guidelines</w:t>
      </w:r>
    </w:p>
    <w:p w14:paraId="467F83A8" w14:textId="24A0AE93" w:rsidR="00391A5B" w:rsidRDefault="00391A5B" w:rsidP="00391A5B">
      <w:pPr>
        <w:rPr>
          <w:sz w:val="24"/>
          <w:szCs w:val="24"/>
        </w:rPr>
      </w:pPr>
      <w:r w:rsidRPr="00391A5B">
        <w:rPr>
          <w:sz w:val="24"/>
          <w:szCs w:val="24"/>
          <w:u w:val="single"/>
        </w:rPr>
        <w:t>Reasonable interpretation of this policy</w:t>
      </w:r>
      <w:r>
        <w:t xml:space="preserve">:  </w:t>
      </w:r>
      <w:r w:rsidR="007C0484">
        <w:rPr>
          <w:sz w:val="24"/>
          <w:szCs w:val="24"/>
        </w:rPr>
        <w:t>To have a plan for fundraising, be sure all gifts are in accord with the Provincial policy and to be aware of the NCDC guidelines so we can achieve compliance.</w:t>
      </w:r>
    </w:p>
    <w:p w14:paraId="52A87BC2" w14:textId="747EC08B" w:rsidR="007C0484" w:rsidRPr="007C0484" w:rsidRDefault="007C0484" w:rsidP="00391A5B">
      <w:pPr>
        <w:rPr>
          <w:sz w:val="24"/>
          <w:szCs w:val="24"/>
        </w:rPr>
      </w:pPr>
      <w:r>
        <w:rPr>
          <w:sz w:val="24"/>
          <w:szCs w:val="24"/>
        </w:rPr>
        <w:t xml:space="preserve">To this end: We are in the midst of two programs for raising money this year and next.  We have a plan for an event next year and are looking at plans for </w:t>
      </w:r>
      <w:r w:rsidR="00387353">
        <w:rPr>
          <w:sz w:val="24"/>
          <w:szCs w:val="24"/>
        </w:rPr>
        <w:t>either the</w:t>
      </w:r>
      <w:r>
        <w:rPr>
          <w:sz w:val="24"/>
          <w:szCs w:val="24"/>
        </w:rPr>
        <w:t xml:space="preserve"> 300</w:t>
      </w:r>
      <w:r w:rsidRPr="007C0484">
        <w:rPr>
          <w:sz w:val="24"/>
          <w:szCs w:val="24"/>
          <w:vertAlign w:val="superscript"/>
        </w:rPr>
        <w:t>th</w:t>
      </w:r>
      <w:r>
        <w:rPr>
          <w:sz w:val="24"/>
          <w:szCs w:val="24"/>
        </w:rPr>
        <w:t xml:space="preserve"> </w:t>
      </w:r>
      <w:r w:rsidR="00387353">
        <w:rPr>
          <w:sz w:val="24"/>
          <w:szCs w:val="24"/>
        </w:rPr>
        <w:t xml:space="preserve">anniversary of the formation of the Congregation of the Passion or the </w:t>
      </w:r>
      <w:r>
        <w:rPr>
          <w:sz w:val="24"/>
          <w:szCs w:val="24"/>
        </w:rPr>
        <w:t>60</w:t>
      </w:r>
      <w:r w:rsidRPr="007C0484">
        <w:rPr>
          <w:sz w:val="24"/>
          <w:szCs w:val="24"/>
          <w:vertAlign w:val="superscript"/>
        </w:rPr>
        <w:t>th</w:t>
      </w:r>
      <w:r>
        <w:rPr>
          <w:sz w:val="24"/>
          <w:szCs w:val="24"/>
        </w:rPr>
        <w:t xml:space="preserve"> anniversar</w:t>
      </w:r>
      <w:r w:rsidR="00387353">
        <w:rPr>
          <w:sz w:val="24"/>
          <w:szCs w:val="24"/>
        </w:rPr>
        <w:t>y of the retreat center</w:t>
      </w:r>
      <w:r>
        <w:rPr>
          <w:sz w:val="24"/>
          <w:szCs w:val="24"/>
        </w:rPr>
        <w:t xml:space="preserve">.  All our gifts are received through our director of mission advancement and we comply with the gift acceptance policies.  </w:t>
      </w:r>
      <w:r w:rsidR="009D6749">
        <w:rPr>
          <w:sz w:val="24"/>
          <w:szCs w:val="24"/>
        </w:rPr>
        <w:t>We follow the code of stewardship and ethics as outlined by the NCDC.</w:t>
      </w:r>
    </w:p>
    <w:p w14:paraId="234780AA" w14:textId="49D3185C" w:rsidR="001D2A82" w:rsidRPr="00076879" w:rsidRDefault="001D2A82" w:rsidP="001D2A82">
      <w:pPr>
        <w:rPr>
          <w:sz w:val="24"/>
          <w:szCs w:val="24"/>
        </w:rPr>
      </w:pPr>
      <w:r>
        <w:rPr>
          <w:sz w:val="24"/>
          <w:szCs w:val="24"/>
        </w:rPr>
        <w:lastRenderedPageBreak/>
        <w:t>We are in compliance with this policy</w:t>
      </w:r>
      <w:r w:rsidR="00854E9D">
        <w:rPr>
          <w:sz w:val="24"/>
          <w:szCs w:val="24"/>
        </w:rPr>
        <w:t>.</w:t>
      </w:r>
    </w:p>
    <w:p w14:paraId="7C4AF5FC" w14:textId="77777777" w:rsidR="001751D7" w:rsidRDefault="001751D7" w:rsidP="004A4612">
      <w:pPr>
        <w:rPr>
          <w:sz w:val="24"/>
          <w:szCs w:val="24"/>
        </w:rPr>
      </w:pPr>
    </w:p>
    <w:p w14:paraId="552910B8" w14:textId="77777777" w:rsidR="004A4612" w:rsidRDefault="004A4612" w:rsidP="004A4612">
      <w:pPr>
        <w:rPr>
          <w:rFonts w:ascii="Calibri" w:hAnsi="Calibri"/>
          <w:sz w:val="24"/>
          <w:szCs w:val="24"/>
        </w:rPr>
      </w:pPr>
      <w:r>
        <w:rPr>
          <w:sz w:val="24"/>
          <w:szCs w:val="24"/>
        </w:rPr>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1F363384" w14:textId="77777777"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7D631D1A" w14:textId="74D9C905"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Pr>
          <w:rFonts w:ascii="Times New Roman" w:hAnsi="Times New Roman" w:cs="Times New Roman"/>
          <w:sz w:val="24"/>
          <w:szCs w:val="24"/>
        </w:rPr>
        <w:t xml:space="preserve">  </w:t>
      </w:r>
      <w:r w:rsidR="002359A1">
        <w:rPr>
          <w:rFonts w:ascii="Times New Roman" w:hAnsi="Times New Roman" w:cs="Times New Roman"/>
          <w:sz w:val="24"/>
          <w:szCs w:val="24"/>
        </w:rPr>
        <w:t>We are maintaining a 3% increase in</w:t>
      </w:r>
      <w:r w:rsidR="001452EC">
        <w:rPr>
          <w:rFonts w:ascii="Times New Roman" w:hAnsi="Times New Roman" w:cs="Times New Roman"/>
          <w:sz w:val="24"/>
          <w:szCs w:val="24"/>
        </w:rPr>
        <w:t xml:space="preserve"> retreat</w:t>
      </w:r>
      <w:r>
        <w:rPr>
          <w:rFonts w:ascii="Times New Roman" w:hAnsi="Times New Roman" w:cs="Times New Roman"/>
          <w:sz w:val="24"/>
          <w:szCs w:val="24"/>
        </w:rPr>
        <w:t xml:space="preserve"> attendance ove</w:t>
      </w:r>
      <w:r w:rsidR="002359A1">
        <w:rPr>
          <w:rFonts w:ascii="Times New Roman" w:hAnsi="Times New Roman" w:cs="Times New Roman"/>
          <w:sz w:val="24"/>
          <w:szCs w:val="24"/>
        </w:rPr>
        <w:t>r last year.</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657A3A"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14:paraId="3BE615C2" w14:textId="188E3C3B" w:rsidR="00FE3565" w:rsidRDefault="00657A3A" w:rsidP="00657A3A">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p>
    <w:p w14:paraId="14DE4DB5" w14:textId="77777777" w:rsidR="00E1466A" w:rsidRDefault="00E1466A" w:rsidP="00657A3A">
      <w:pPr>
        <w:pStyle w:val="NoSpacing"/>
        <w:widowControl w:val="0"/>
        <w:tabs>
          <w:tab w:val="left" w:pos="863"/>
        </w:tabs>
        <w:ind w:left="720"/>
        <w:rPr>
          <w:rFonts w:ascii="Times New Roman" w:hAnsi="Times New Roman" w:cs="Times New Roman"/>
          <w:sz w:val="24"/>
          <w:szCs w:val="24"/>
        </w:rPr>
      </w:pPr>
    </w:p>
    <w:p w14:paraId="2F57D047" w14:textId="77777777" w:rsidR="00E1466A" w:rsidRDefault="00E1466A" w:rsidP="00657A3A">
      <w:pPr>
        <w:pStyle w:val="NoSpacing"/>
        <w:widowControl w:val="0"/>
        <w:tabs>
          <w:tab w:val="left" w:pos="863"/>
        </w:tabs>
        <w:ind w:left="720"/>
        <w:rPr>
          <w:rFonts w:ascii="Times New Roman" w:hAnsi="Times New Roman" w:cs="Times New Roman"/>
          <w:sz w:val="24"/>
          <w:szCs w:val="24"/>
        </w:rPr>
      </w:pPr>
    </w:p>
    <w:sectPr w:rsidR="00E14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E17A6F">
          <w:rPr>
            <w:noProof/>
          </w:rPr>
          <w:t>6</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9" w15:restartNumberingAfterBreak="0">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3"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5"/>
  </w:num>
  <w:num w:numId="5">
    <w:abstractNumId w:val="11"/>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4"/>
  </w:num>
  <w:num w:numId="17">
    <w:abstractNumId w:val="1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5"/>
    <w:rsid w:val="00001928"/>
    <w:rsid w:val="000202E9"/>
    <w:rsid w:val="0005508E"/>
    <w:rsid w:val="0006787B"/>
    <w:rsid w:val="00076879"/>
    <w:rsid w:val="00082E5A"/>
    <w:rsid w:val="000911C2"/>
    <w:rsid w:val="000A4E88"/>
    <w:rsid w:val="000A627A"/>
    <w:rsid w:val="001003EC"/>
    <w:rsid w:val="00105BF5"/>
    <w:rsid w:val="00110EC8"/>
    <w:rsid w:val="001112C5"/>
    <w:rsid w:val="00115662"/>
    <w:rsid w:val="00126150"/>
    <w:rsid w:val="00132247"/>
    <w:rsid w:val="001338C5"/>
    <w:rsid w:val="001452EC"/>
    <w:rsid w:val="0017298B"/>
    <w:rsid w:val="001751D7"/>
    <w:rsid w:val="00177A51"/>
    <w:rsid w:val="00184EB3"/>
    <w:rsid w:val="001A5DC7"/>
    <w:rsid w:val="001C4249"/>
    <w:rsid w:val="001D2A82"/>
    <w:rsid w:val="001E5C9C"/>
    <w:rsid w:val="001F395C"/>
    <w:rsid w:val="001F755F"/>
    <w:rsid w:val="0020071E"/>
    <w:rsid w:val="00234AA2"/>
    <w:rsid w:val="002359A1"/>
    <w:rsid w:val="00247409"/>
    <w:rsid w:val="002D763E"/>
    <w:rsid w:val="002F08A3"/>
    <w:rsid w:val="00311B70"/>
    <w:rsid w:val="00322950"/>
    <w:rsid w:val="00345EF2"/>
    <w:rsid w:val="00370CE7"/>
    <w:rsid w:val="00380441"/>
    <w:rsid w:val="00387353"/>
    <w:rsid w:val="00391A5B"/>
    <w:rsid w:val="003A0B9B"/>
    <w:rsid w:val="003B2BBB"/>
    <w:rsid w:val="003C53E6"/>
    <w:rsid w:val="003C62FE"/>
    <w:rsid w:val="003E5D5B"/>
    <w:rsid w:val="004134DE"/>
    <w:rsid w:val="0041787A"/>
    <w:rsid w:val="00420F52"/>
    <w:rsid w:val="0044150C"/>
    <w:rsid w:val="004418E2"/>
    <w:rsid w:val="00452719"/>
    <w:rsid w:val="00453DA9"/>
    <w:rsid w:val="004543E8"/>
    <w:rsid w:val="004757ED"/>
    <w:rsid w:val="00476E33"/>
    <w:rsid w:val="00493ABD"/>
    <w:rsid w:val="00495EFC"/>
    <w:rsid w:val="004A4612"/>
    <w:rsid w:val="004A74A5"/>
    <w:rsid w:val="004C5B02"/>
    <w:rsid w:val="004D11C7"/>
    <w:rsid w:val="004D16FA"/>
    <w:rsid w:val="004E438C"/>
    <w:rsid w:val="00503D4F"/>
    <w:rsid w:val="00504BE5"/>
    <w:rsid w:val="0055469A"/>
    <w:rsid w:val="005737B1"/>
    <w:rsid w:val="005D0BB6"/>
    <w:rsid w:val="005F11CD"/>
    <w:rsid w:val="006137F7"/>
    <w:rsid w:val="00621D57"/>
    <w:rsid w:val="00626BE5"/>
    <w:rsid w:val="00633C21"/>
    <w:rsid w:val="006545A4"/>
    <w:rsid w:val="00657A3A"/>
    <w:rsid w:val="0067507F"/>
    <w:rsid w:val="006946C2"/>
    <w:rsid w:val="006A7344"/>
    <w:rsid w:val="006C47D8"/>
    <w:rsid w:val="006E36DB"/>
    <w:rsid w:val="006E3F12"/>
    <w:rsid w:val="00711FEC"/>
    <w:rsid w:val="00714743"/>
    <w:rsid w:val="0072764F"/>
    <w:rsid w:val="00762B7C"/>
    <w:rsid w:val="00765AF7"/>
    <w:rsid w:val="007A7F25"/>
    <w:rsid w:val="007C0484"/>
    <w:rsid w:val="007D52BD"/>
    <w:rsid w:val="007E0A73"/>
    <w:rsid w:val="00805DFF"/>
    <w:rsid w:val="008252C7"/>
    <w:rsid w:val="00832416"/>
    <w:rsid w:val="00854E9D"/>
    <w:rsid w:val="00870EE8"/>
    <w:rsid w:val="00893B3E"/>
    <w:rsid w:val="00893EC8"/>
    <w:rsid w:val="008C1E84"/>
    <w:rsid w:val="008C26B3"/>
    <w:rsid w:val="008C6A55"/>
    <w:rsid w:val="008D14EF"/>
    <w:rsid w:val="008D1C50"/>
    <w:rsid w:val="008D1EF1"/>
    <w:rsid w:val="008E145E"/>
    <w:rsid w:val="008E2005"/>
    <w:rsid w:val="008E55ED"/>
    <w:rsid w:val="008F0993"/>
    <w:rsid w:val="008F5801"/>
    <w:rsid w:val="009043A6"/>
    <w:rsid w:val="00910BBE"/>
    <w:rsid w:val="00914EDC"/>
    <w:rsid w:val="009179FA"/>
    <w:rsid w:val="009218D1"/>
    <w:rsid w:val="009274A4"/>
    <w:rsid w:val="00950C3C"/>
    <w:rsid w:val="00952CDF"/>
    <w:rsid w:val="00956D78"/>
    <w:rsid w:val="009664A1"/>
    <w:rsid w:val="009A157F"/>
    <w:rsid w:val="009C502F"/>
    <w:rsid w:val="009D66C1"/>
    <w:rsid w:val="009D6749"/>
    <w:rsid w:val="009D7810"/>
    <w:rsid w:val="00A332DF"/>
    <w:rsid w:val="00A43F66"/>
    <w:rsid w:val="00A55394"/>
    <w:rsid w:val="00A57C2A"/>
    <w:rsid w:val="00A77FA8"/>
    <w:rsid w:val="00AB1741"/>
    <w:rsid w:val="00AD7AF0"/>
    <w:rsid w:val="00B01B44"/>
    <w:rsid w:val="00B75099"/>
    <w:rsid w:val="00B87131"/>
    <w:rsid w:val="00BA6AE0"/>
    <w:rsid w:val="00BA6B15"/>
    <w:rsid w:val="00BB2342"/>
    <w:rsid w:val="00BB386A"/>
    <w:rsid w:val="00C41D1E"/>
    <w:rsid w:val="00C47DE4"/>
    <w:rsid w:val="00C976AA"/>
    <w:rsid w:val="00C9783A"/>
    <w:rsid w:val="00CB4906"/>
    <w:rsid w:val="00CC515E"/>
    <w:rsid w:val="00CC7A13"/>
    <w:rsid w:val="00CD6575"/>
    <w:rsid w:val="00CF73E8"/>
    <w:rsid w:val="00D200F5"/>
    <w:rsid w:val="00D229F5"/>
    <w:rsid w:val="00D526F1"/>
    <w:rsid w:val="00D638BF"/>
    <w:rsid w:val="00D63C76"/>
    <w:rsid w:val="00D676CC"/>
    <w:rsid w:val="00D7014F"/>
    <w:rsid w:val="00D76D8D"/>
    <w:rsid w:val="00D80BBD"/>
    <w:rsid w:val="00DC1B4F"/>
    <w:rsid w:val="00DD1E6F"/>
    <w:rsid w:val="00DF0D44"/>
    <w:rsid w:val="00E1466A"/>
    <w:rsid w:val="00E17A6F"/>
    <w:rsid w:val="00E462C3"/>
    <w:rsid w:val="00E7024A"/>
    <w:rsid w:val="00E7196E"/>
    <w:rsid w:val="00E97AEA"/>
    <w:rsid w:val="00EB631F"/>
    <w:rsid w:val="00EE1551"/>
    <w:rsid w:val="00EE4049"/>
    <w:rsid w:val="00EE645E"/>
    <w:rsid w:val="00F20498"/>
    <w:rsid w:val="00F24607"/>
    <w:rsid w:val="00F32DCB"/>
    <w:rsid w:val="00F33BD4"/>
    <w:rsid w:val="00F341A4"/>
    <w:rsid w:val="00F35EAC"/>
    <w:rsid w:val="00F4656C"/>
    <w:rsid w:val="00F644EB"/>
    <w:rsid w:val="00F97FB9"/>
    <w:rsid w:val="00FC1467"/>
    <w:rsid w:val="00FD1477"/>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15:chartTrackingRefBased/>
  <w15:docId w15:val="{0240BE9F-2364-4212-BB59-C8D656B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 w:type="table" w:styleId="TableGrid">
    <w:name w:val="Table Grid"/>
    <w:basedOn w:val="TableNormal"/>
    <w:uiPriority w:val="39"/>
    <w:rsid w:val="000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 w:id="18759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6</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69</cp:revision>
  <cp:lastPrinted>2019-04-02T14:28:00Z</cp:lastPrinted>
  <dcterms:created xsi:type="dcterms:W3CDTF">2019-02-15T17:20:00Z</dcterms:created>
  <dcterms:modified xsi:type="dcterms:W3CDTF">2019-04-09T20:28:00Z</dcterms:modified>
</cp:coreProperties>
</file>