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3D23B" w14:textId="77777777" w:rsidR="00163430" w:rsidRPr="00163430" w:rsidRDefault="00163430" w:rsidP="00163430">
      <w:pPr>
        <w:rPr>
          <w:b/>
          <w:szCs w:val="24"/>
        </w:rPr>
      </w:pPr>
    </w:p>
    <w:p w14:paraId="54236D5F" w14:textId="77777777" w:rsidR="00447E78" w:rsidRDefault="00447E78" w:rsidP="001A64CE">
      <w:pPr>
        <w:rPr>
          <w:b/>
          <w:szCs w:val="24"/>
        </w:rPr>
      </w:pPr>
    </w:p>
    <w:p w14:paraId="1AA00A01" w14:textId="21DBCE92" w:rsidR="00163430" w:rsidRDefault="001A64CE" w:rsidP="00692181">
      <w:pPr>
        <w:tabs>
          <w:tab w:val="left" w:pos="2160"/>
        </w:tabs>
        <w:rPr>
          <w:b/>
          <w:szCs w:val="24"/>
        </w:rPr>
      </w:pPr>
      <w:r>
        <w:rPr>
          <w:b/>
          <w:szCs w:val="24"/>
        </w:rPr>
        <w:t>P</w:t>
      </w:r>
      <w:r w:rsidR="009A37BA">
        <w:rPr>
          <w:b/>
          <w:szCs w:val="24"/>
        </w:rPr>
        <w:t>rocedure</w:t>
      </w:r>
      <w:r>
        <w:rPr>
          <w:b/>
          <w:szCs w:val="24"/>
        </w:rPr>
        <w:t xml:space="preserve"> Number:</w:t>
      </w:r>
      <w:r w:rsidR="00692181">
        <w:rPr>
          <w:b/>
          <w:szCs w:val="24"/>
        </w:rPr>
        <w:tab/>
      </w:r>
      <w:r w:rsidR="009A37BA">
        <w:rPr>
          <w:b/>
          <w:szCs w:val="24"/>
        </w:rPr>
        <w:t>GP 2.</w:t>
      </w:r>
      <w:r w:rsidR="005069EE">
        <w:rPr>
          <w:b/>
          <w:szCs w:val="24"/>
        </w:rPr>
        <w:t>5</w:t>
      </w:r>
    </w:p>
    <w:p w14:paraId="0C2027E6" w14:textId="48A7647E" w:rsidR="001A64CE" w:rsidRDefault="001A64CE" w:rsidP="00692181">
      <w:pPr>
        <w:tabs>
          <w:tab w:val="left" w:pos="2160"/>
        </w:tabs>
        <w:rPr>
          <w:b/>
          <w:szCs w:val="24"/>
        </w:rPr>
      </w:pPr>
    </w:p>
    <w:p w14:paraId="6E1255B2" w14:textId="3307AD4F" w:rsidR="00473950" w:rsidRPr="001A64CE" w:rsidRDefault="00692181" w:rsidP="00692181">
      <w:pPr>
        <w:tabs>
          <w:tab w:val="left" w:pos="2160"/>
        </w:tabs>
        <w:rPr>
          <w:b/>
          <w:szCs w:val="24"/>
        </w:rPr>
      </w:pPr>
      <w:r>
        <w:rPr>
          <w:b/>
          <w:szCs w:val="24"/>
        </w:rPr>
        <w:t xml:space="preserve">Procedure </w:t>
      </w:r>
      <w:r w:rsidR="001A64CE" w:rsidRPr="001A64CE">
        <w:rPr>
          <w:b/>
          <w:szCs w:val="24"/>
        </w:rPr>
        <w:t>Title:</w:t>
      </w:r>
      <w:r>
        <w:rPr>
          <w:b/>
          <w:szCs w:val="24"/>
        </w:rPr>
        <w:tab/>
      </w:r>
      <w:r w:rsidR="0009650A">
        <w:rPr>
          <w:b/>
          <w:szCs w:val="24"/>
        </w:rPr>
        <w:t xml:space="preserve">Monitoring </w:t>
      </w:r>
      <w:r w:rsidR="005069EE">
        <w:rPr>
          <w:b/>
          <w:szCs w:val="24"/>
        </w:rPr>
        <w:t>the D</w:t>
      </w:r>
      <w:r w:rsidR="00E33FBC">
        <w:rPr>
          <w:b/>
          <w:szCs w:val="24"/>
        </w:rPr>
        <w:t>MM</w:t>
      </w:r>
      <w:r w:rsidR="005069EE">
        <w:rPr>
          <w:b/>
          <w:szCs w:val="24"/>
        </w:rPr>
        <w:t xml:space="preserve">’s </w:t>
      </w:r>
      <w:r w:rsidR="0009650A">
        <w:rPr>
          <w:b/>
          <w:szCs w:val="24"/>
        </w:rPr>
        <w:t>Performance</w:t>
      </w:r>
      <w:r w:rsidR="00A15FCE">
        <w:rPr>
          <w:b/>
          <w:szCs w:val="24"/>
        </w:rPr>
        <w:t xml:space="preserve"> </w:t>
      </w:r>
      <w:r w:rsidR="005069EE">
        <w:rPr>
          <w:b/>
          <w:szCs w:val="24"/>
        </w:rPr>
        <w:t xml:space="preserve">Against Policies </w:t>
      </w:r>
      <w:r w:rsidR="00A15FCE">
        <w:rPr>
          <w:b/>
          <w:szCs w:val="24"/>
        </w:rPr>
        <w:t>Procedure</w:t>
      </w:r>
    </w:p>
    <w:p w14:paraId="506E80AE" w14:textId="57165DF4" w:rsidR="00473950" w:rsidRDefault="00473950">
      <w:pPr>
        <w:rPr>
          <w:b/>
          <w:u w:val="single"/>
        </w:rPr>
      </w:pPr>
    </w:p>
    <w:p w14:paraId="32055C45" w14:textId="1785FAD8" w:rsidR="001A5CAF" w:rsidRDefault="00D57B64">
      <w:pPr>
        <w:rPr>
          <w:bCs/>
        </w:rPr>
      </w:pPr>
      <w:r w:rsidRPr="00D57B64">
        <w:rPr>
          <w:b/>
        </w:rPr>
        <w:t xml:space="preserve">Purpose: </w:t>
      </w:r>
      <w:r>
        <w:rPr>
          <w:b/>
        </w:rPr>
        <w:t xml:space="preserve"> </w:t>
      </w:r>
      <w:r w:rsidR="001A5CAF" w:rsidRPr="006119E5">
        <w:rPr>
          <w:bCs/>
        </w:rPr>
        <w:t>To e</w:t>
      </w:r>
      <w:r w:rsidR="00A15FCE" w:rsidRPr="006119E5">
        <w:rPr>
          <w:bCs/>
        </w:rPr>
        <w:t>nsure</w:t>
      </w:r>
      <w:r w:rsidR="00A15FCE">
        <w:rPr>
          <w:bCs/>
        </w:rPr>
        <w:t xml:space="preserve"> the</w:t>
      </w:r>
      <w:r w:rsidR="00401E08">
        <w:rPr>
          <w:bCs/>
        </w:rPr>
        <w:t xml:space="preserve"> Director of Mission and Ministry</w:t>
      </w:r>
      <w:r w:rsidR="00A15FCE">
        <w:rPr>
          <w:bCs/>
        </w:rPr>
        <w:t xml:space="preserve"> demonstrates reasonable </w:t>
      </w:r>
      <w:r w:rsidR="001A5CAF">
        <w:rPr>
          <w:bCs/>
        </w:rPr>
        <w:t>performance against</w:t>
      </w:r>
      <w:r w:rsidR="00A15FCE">
        <w:rPr>
          <w:bCs/>
        </w:rPr>
        <w:t xml:space="preserve"> </w:t>
      </w:r>
      <w:r w:rsidR="001A5CAF">
        <w:rPr>
          <w:bCs/>
        </w:rPr>
        <w:t xml:space="preserve">the board’s Ends and Executive Limitations </w:t>
      </w:r>
      <w:r w:rsidR="00A15FCE">
        <w:rPr>
          <w:bCs/>
        </w:rPr>
        <w:t>policies</w:t>
      </w:r>
      <w:r w:rsidR="00166D0D">
        <w:rPr>
          <w:bCs/>
        </w:rPr>
        <w:t xml:space="preserve"> (Reference form DOB 004 Board Monitoring Matrix)</w:t>
      </w:r>
      <w:r w:rsidR="001A5CAF">
        <w:rPr>
          <w:bCs/>
        </w:rPr>
        <w:t>.</w:t>
      </w:r>
      <w:r w:rsidR="00A15FCE">
        <w:rPr>
          <w:bCs/>
        </w:rPr>
        <w:t xml:space="preserve"> </w:t>
      </w:r>
      <w:r w:rsidR="001A5CAF">
        <w:rPr>
          <w:bCs/>
        </w:rPr>
        <w:t xml:space="preserve"> </w:t>
      </w:r>
      <w:r w:rsidR="001A5CAF" w:rsidRPr="001A5CAF">
        <w:rPr>
          <w:bCs/>
        </w:rPr>
        <w:t xml:space="preserve">Monitoring is </w:t>
      </w:r>
      <w:r w:rsidR="006119E5">
        <w:rPr>
          <w:bCs/>
        </w:rPr>
        <w:t xml:space="preserve">done to </w:t>
      </w:r>
      <w:r w:rsidR="001A5CAF" w:rsidRPr="001A5CAF">
        <w:rPr>
          <w:bCs/>
        </w:rPr>
        <w:t xml:space="preserve">discover if the organization achieved a reasonable interpretation of these board policies. </w:t>
      </w:r>
      <w:r w:rsidR="006119E5">
        <w:rPr>
          <w:bCs/>
        </w:rPr>
        <w:t xml:space="preserve"> </w:t>
      </w:r>
      <w:r w:rsidR="001A5CAF" w:rsidRPr="001A5CAF">
        <w:rPr>
          <w:bCs/>
        </w:rPr>
        <w:t>The board judge</w:t>
      </w:r>
      <w:r w:rsidR="006119E5">
        <w:rPr>
          <w:bCs/>
        </w:rPr>
        <w:t>s</w:t>
      </w:r>
      <w:r w:rsidR="001A5CAF" w:rsidRPr="001A5CAF">
        <w:rPr>
          <w:bCs/>
        </w:rPr>
        <w:t xml:space="preserve"> the </w:t>
      </w:r>
      <w:r w:rsidR="006119E5">
        <w:rPr>
          <w:bCs/>
        </w:rPr>
        <w:t>Director’</w:t>
      </w:r>
      <w:r w:rsidR="001A5CAF" w:rsidRPr="001A5CAF">
        <w:rPr>
          <w:bCs/>
        </w:rPr>
        <w:t xml:space="preserve">s interpretation </w:t>
      </w:r>
      <w:r w:rsidR="006119E5">
        <w:rPr>
          <w:bCs/>
        </w:rPr>
        <w:t xml:space="preserve">of each policy </w:t>
      </w:r>
      <w:r w:rsidR="001A5CAF" w:rsidRPr="001A5CAF">
        <w:rPr>
          <w:bCs/>
        </w:rPr>
        <w:t>for its reasonableness</w:t>
      </w:r>
      <w:r w:rsidR="006119E5">
        <w:rPr>
          <w:bCs/>
        </w:rPr>
        <w:t xml:space="preserve"> as well as </w:t>
      </w:r>
      <w:r w:rsidR="001A5CAF" w:rsidRPr="001A5CAF">
        <w:rPr>
          <w:bCs/>
        </w:rPr>
        <w:t>the data demonstrating the accomplishment of the interpretation.</w:t>
      </w:r>
      <w:r w:rsidR="006119E5">
        <w:rPr>
          <w:bCs/>
        </w:rPr>
        <w:t xml:space="preserve"> </w:t>
      </w:r>
      <w:r w:rsidR="001A5CAF" w:rsidRPr="001A5CAF">
        <w:rPr>
          <w:bCs/>
        </w:rPr>
        <w:t xml:space="preserve"> Th</w:t>
      </w:r>
      <w:r w:rsidR="006119E5">
        <w:rPr>
          <w:bCs/>
        </w:rPr>
        <w:t>is</w:t>
      </w:r>
      <w:r w:rsidR="001A5CAF" w:rsidRPr="001A5CAF">
        <w:rPr>
          <w:bCs/>
        </w:rPr>
        <w:t xml:space="preserve"> ongoing monitoring of </w:t>
      </w:r>
      <w:r w:rsidR="006119E5">
        <w:rPr>
          <w:bCs/>
        </w:rPr>
        <w:t xml:space="preserve">the </w:t>
      </w:r>
      <w:r w:rsidR="001A5CAF" w:rsidRPr="001A5CAF">
        <w:rPr>
          <w:bCs/>
        </w:rPr>
        <w:t xml:space="preserve">board's Ends and Executive Limitations policies constitutes the </w:t>
      </w:r>
      <w:r w:rsidR="006119E5">
        <w:rPr>
          <w:bCs/>
        </w:rPr>
        <w:t>Direct</w:t>
      </w:r>
      <w:r w:rsidR="001A5CAF" w:rsidRPr="001A5CAF">
        <w:rPr>
          <w:bCs/>
        </w:rPr>
        <w:t>'s performance evaluation.</w:t>
      </w:r>
    </w:p>
    <w:p w14:paraId="400042EE" w14:textId="77777777" w:rsidR="001A5CAF" w:rsidRDefault="001A5CAF">
      <w:pPr>
        <w:rPr>
          <w:bCs/>
        </w:rPr>
      </w:pPr>
    </w:p>
    <w:p w14:paraId="2128A12F" w14:textId="76B639BD" w:rsidR="00A15FCE" w:rsidRDefault="00A15FCE">
      <w:pPr>
        <w:rPr>
          <w:bCs/>
        </w:rPr>
      </w:pPr>
      <w:r w:rsidRPr="006119E5">
        <w:rPr>
          <w:b/>
        </w:rPr>
        <w:t xml:space="preserve">The </w:t>
      </w:r>
      <w:r w:rsidR="006119E5" w:rsidRPr="006119E5">
        <w:rPr>
          <w:b/>
        </w:rPr>
        <w:t>Director of Mission and Ministry will report</w:t>
      </w:r>
      <w:r w:rsidR="006119E5">
        <w:rPr>
          <w:bCs/>
        </w:rPr>
        <w:t xml:space="preserve"> during the board’s scheduled meetings on his/her compliance to the board’s Ends Policies as follows</w:t>
      </w:r>
      <w:r>
        <w:rPr>
          <w:bCs/>
        </w:rPr>
        <w:t>:</w:t>
      </w:r>
    </w:p>
    <w:p w14:paraId="572553A7" w14:textId="4F835ED9" w:rsidR="00A15FCE" w:rsidRDefault="00A15FCE">
      <w:pPr>
        <w:rPr>
          <w:bCs/>
        </w:rPr>
      </w:pPr>
    </w:p>
    <w:p w14:paraId="1C92D3A7" w14:textId="77777777" w:rsidR="00A15FCE" w:rsidRDefault="00A15FCE">
      <w:pPr>
        <w:rPr>
          <w:b/>
        </w:rPr>
        <w:sectPr w:rsidR="00A15FCE" w:rsidSect="00C73BB6">
          <w:headerReference w:type="default" r:id="rId7"/>
          <w:footerReference w:type="default" r:id="rId8"/>
          <w:pgSz w:w="12240" w:h="15840"/>
          <w:pgMar w:top="1440" w:right="1440" w:bottom="1440" w:left="1440" w:header="720" w:footer="576" w:gutter="0"/>
          <w:cols w:space="720"/>
          <w:docGrid w:linePitch="360"/>
        </w:sectPr>
      </w:pPr>
    </w:p>
    <w:p w14:paraId="449E12A0" w14:textId="2186B7B8" w:rsidR="006119E5" w:rsidRDefault="006119E5" w:rsidP="006119E5">
      <w:pPr>
        <w:tabs>
          <w:tab w:val="left" w:pos="1260"/>
        </w:tabs>
        <w:rPr>
          <w:bCs/>
        </w:rPr>
      </w:pPr>
      <w:r>
        <w:rPr>
          <w:bCs/>
        </w:rPr>
        <w:t>August</w:t>
      </w:r>
      <w:r>
        <w:rPr>
          <w:bCs/>
        </w:rPr>
        <w:tab/>
        <w:t xml:space="preserve">EP 1 – </w:t>
      </w:r>
      <w:r w:rsidR="00166D0D">
        <w:rPr>
          <w:bCs/>
        </w:rPr>
        <w:t>Umbrella Policy</w:t>
      </w:r>
    </w:p>
    <w:p w14:paraId="3321D755" w14:textId="2B8C038B" w:rsidR="006119E5" w:rsidRDefault="006119E5" w:rsidP="006119E5">
      <w:pPr>
        <w:tabs>
          <w:tab w:val="left" w:pos="1260"/>
        </w:tabs>
        <w:rPr>
          <w:bCs/>
        </w:rPr>
      </w:pPr>
      <w:r>
        <w:rPr>
          <w:bCs/>
        </w:rPr>
        <w:t xml:space="preserve">October </w:t>
      </w:r>
      <w:r>
        <w:rPr>
          <w:bCs/>
        </w:rPr>
        <w:tab/>
        <w:t xml:space="preserve">EP 2 – </w:t>
      </w:r>
      <w:r w:rsidR="00166D0D">
        <w:rPr>
          <w:bCs/>
        </w:rPr>
        <w:t>Spirit Renewal</w:t>
      </w:r>
    </w:p>
    <w:p w14:paraId="7F3D6228" w14:textId="05DBECB4" w:rsidR="006119E5" w:rsidRDefault="006119E5" w:rsidP="006119E5">
      <w:pPr>
        <w:tabs>
          <w:tab w:val="left" w:pos="1260"/>
        </w:tabs>
        <w:rPr>
          <w:bCs/>
        </w:rPr>
      </w:pPr>
      <w:r>
        <w:rPr>
          <w:bCs/>
        </w:rPr>
        <w:t>December</w:t>
      </w:r>
      <w:r>
        <w:rPr>
          <w:bCs/>
        </w:rPr>
        <w:tab/>
        <w:t xml:space="preserve">EP 3 – </w:t>
      </w:r>
      <w:r w:rsidR="00166D0D">
        <w:rPr>
          <w:bCs/>
        </w:rPr>
        <w:t>Diversity</w:t>
      </w:r>
    </w:p>
    <w:p w14:paraId="70EB9728" w14:textId="55E83CCF" w:rsidR="006119E5" w:rsidRDefault="006119E5" w:rsidP="006119E5">
      <w:pPr>
        <w:tabs>
          <w:tab w:val="left" w:pos="1260"/>
        </w:tabs>
        <w:rPr>
          <w:bCs/>
        </w:rPr>
      </w:pPr>
      <w:r>
        <w:rPr>
          <w:bCs/>
        </w:rPr>
        <w:tab/>
        <w:t xml:space="preserve">EP 4 – </w:t>
      </w:r>
      <w:r w:rsidR="00166D0D">
        <w:rPr>
          <w:bCs/>
        </w:rPr>
        <w:t>Responding to Unmet Needs</w:t>
      </w:r>
    </w:p>
    <w:p w14:paraId="1912D8D6" w14:textId="77185FAA" w:rsidR="006119E5" w:rsidRDefault="00166D0D" w:rsidP="006119E5">
      <w:pPr>
        <w:tabs>
          <w:tab w:val="left" w:pos="1260"/>
        </w:tabs>
        <w:rPr>
          <w:bCs/>
        </w:rPr>
      </w:pPr>
      <w:r>
        <w:rPr>
          <w:bCs/>
        </w:rPr>
        <w:t>February</w:t>
      </w:r>
      <w:r w:rsidR="006119E5">
        <w:rPr>
          <w:bCs/>
        </w:rPr>
        <w:tab/>
        <w:t xml:space="preserve">EP 5 – </w:t>
      </w:r>
      <w:r>
        <w:rPr>
          <w:bCs/>
        </w:rPr>
        <w:t>Laudato Si’</w:t>
      </w:r>
    </w:p>
    <w:p w14:paraId="3A743EBD" w14:textId="62AC5F3E" w:rsidR="00166D0D" w:rsidRDefault="00166D0D" w:rsidP="006119E5">
      <w:pPr>
        <w:tabs>
          <w:tab w:val="left" w:pos="1260"/>
        </w:tabs>
        <w:rPr>
          <w:bCs/>
        </w:rPr>
      </w:pPr>
      <w:r>
        <w:rPr>
          <w:bCs/>
        </w:rPr>
        <w:t>April</w:t>
      </w:r>
      <w:r>
        <w:rPr>
          <w:bCs/>
        </w:rPr>
        <w:tab/>
        <w:t>EP 6 – Sacred Space</w:t>
      </w:r>
    </w:p>
    <w:p w14:paraId="03155499" w14:textId="6F90A727" w:rsidR="006119E5" w:rsidRDefault="006119E5" w:rsidP="006119E5">
      <w:pPr>
        <w:tabs>
          <w:tab w:val="left" w:pos="1260"/>
        </w:tabs>
        <w:rPr>
          <w:bCs/>
        </w:rPr>
      </w:pPr>
      <w:r>
        <w:rPr>
          <w:bCs/>
        </w:rPr>
        <w:t>June</w:t>
      </w:r>
      <w:r>
        <w:rPr>
          <w:bCs/>
        </w:rPr>
        <w:tab/>
        <w:t xml:space="preserve">EP 6 – </w:t>
      </w:r>
      <w:r w:rsidR="00166D0D">
        <w:rPr>
          <w:bCs/>
        </w:rPr>
        <w:t xml:space="preserve">Promote </w:t>
      </w:r>
      <w:r w:rsidRPr="006119E5">
        <w:rPr>
          <w:bCs/>
        </w:rPr>
        <w:t>Vocation</w:t>
      </w:r>
      <w:r w:rsidR="00166D0D">
        <w:rPr>
          <w:bCs/>
        </w:rPr>
        <w:t>s</w:t>
      </w:r>
    </w:p>
    <w:p w14:paraId="645B36AA" w14:textId="77777777" w:rsidR="006119E5" w:rsidRDefault="006119E5" w:rsidP="006119E5">
      <w:pPr>
        <w:rPr>
          <w:bCs/>
        </w:rPr>
      </w:pPr>
    </w:p>
    <w:p w14:paraId="1A4D03BC" w14:textId="2620BEAE" w:rsidR="006119E5" w:rsidRDefault="006119E5" w:rsidP="006119E5">
      <w:pPr>
        <w:rPr>
          <w:bCs/>
        </w:rPr>
      </w:pPr>
      <w:r w:rsidRPr="009830CB">
        <w:rPr>
          <w:b/>
        </w:rPr>
        <w:t xml:space="preserve">The </w:t>
      </w:r>
      <w:r>
        <w:rPr>
          <w:b/>
        </w:rPr>
        <w:t>Director of Mission and Ministry</w:t>
      </w:r>
      <w:r>
        <w:rPr>
          <w:bCs/>
        </w:rPr>
        <w:t xml:space="preserve"> </w:t>
      </w:r>
      <w:r w:rsidRPr="00015D65">
        <w:rPr>
          <w:b/>
        </w:rPr>
        <w:t>will report</w:t>
      </w:r>
      <w:r>
        <w:rPr>
          <w:bCs/>
        </w:rPr>
        <w:t xml:space="preserve"> during the board’s scheduled meetings on his/her compliance to the board’s Executive Limitation Policies as follows:</w:t>
      </w:r>
    </w:p>
    <w:p w14:paraId="179503F6" w14:textId="77777777" w:rsidR="006119E5" w:rsidRDefault="006119E5" w:rsidP="006119E5">
      <w:pPr>
        <w:rPr>
          <w:bCs/>
        </w:rPr>
      </w:pPr>
    </w:p>
    <w:p w14:paraId="4AC5C4D7" w14:textId="77777777" w:rsidR="006119E5" w:rsidRDefault="006119E5" w:rsidP="006119E5">
      <w:pPr>
        <w:rPr>
          <w:b/>
        </w:rPr>
        <w:sectPr w:rsidR="006119E5" w:rsidSect="006119E5">
          <w:headerReference w:type="default" r:id="rId9"/>
          <w:footerReference w:type="default" r:id="rId10"/>
          <w:type w:val="continuous"/>
          <w:pgSz w:w="12240" w:h="15840"/>
          <w:pgMar w:top="1440" w:right="1440" w:bottom="1440" w:left="1440" w:header="720" w:footer="576" w:gutter="0"/>
          <w:cols w:space="720"/>
          <w:docGrid w:linePitch="360"/>
        </w:sectPr>
      </w:pPr>
    </w:p>
    <w:p w14:paraId="0832064E" w14:textId="5415D827" w:rsidR="006119E5" w:rsidRDefault="006119E5" w:rsidP="007D18AB">
      <w:pPr>
        <w:tabs>
          <w:tab w:val="left" w:pos="1260"/>
        </w:tabs>
        <w:rPr>
          <w:bCs/>
        </w:rPr>
      </w:pPr>
      <w:r w:rsidRPr="00015D65">
        <w:rPr>
          <w:bCs/>
        </w:rPr>
        <w:t>August</w:t>
      </w:r>
      <w:r w:rsidR="007D18AB">
        <w:rPr>
          <w:bCs/>
        </w:rPr>
        <w:tab/>
      </w:r>
      <w:r w:rsidRPr="006119E5">
        <w:rPr>
          <w:bCs/>
        </w:rPr>
        <w:t>EL 8 – Financial Conditions and Activities</w:t>
      </w:r>
    </w:p>
    <w:p w14:paraId="5E5FD1D7" w14:textId="65122968" w:rsidR="006119E5" w:rsidRPr="00A15FCE" w:rsidRDefault="007D18AB" w:rsidP="007D18AB">
      <w:pPr>
        <w:tabs>
          <w:tab w:val="left" w:pos="1260"/>
        </w:tabs>
        <w:rPr>
          <w:bCs/>
        </w:rPr>
      </w:pPr>
      <w:r>
        <w:rPr>
          <w:bCs/>
        </w:rPr>
        <w:tab/>
      </w:r>
      <w:r w:rsidR="006119E5" w:rsidRPr="006119E5">
        <w:rPr>
          <w:bCs/>
        </w:rPr>
        <w:t>EL 11 – Communication and Support to the Board</w:t>
      </w:r>
    </w:p>
    <w:p w14:paraId="77A5035D" w14:textId="77777777" w:rsidR="006119E5" w:rsidRDefault="006119E5" w:rsidP="007D18AB">
      <w:pPr>
        <w:tabs>
          <w:tab w:val="left" w:pos="1260"/>
        </w:tabs>
        <w:rPr>
          <w:b/>
        </w:rPr>
      </w:pPr>
    </w:p>
    <w:p w14:paraId="27090EA7" w14:textId="0965B353" w:rsidR="006119E5" w:rsidRPr="006119E5" w:rsidRDefault="006119E5" w:rsidP="007D18AB">
      <w:pPr>
        <w:tabs>
          <w:tab w:val="left" w:pos="1260"/>
        </w:tabs>
        <w:rPr>
          <w:bCs/>
        </w:rPr>
      </w:pPr>
      <w:r w:rsidRPr="00015D65">
        <w:rPr>
          <w:bCs/>
        </w:rPr>
        <w:t>October</w:t>
      </w:r>
      <w:r w:rsidR="007D18AB">
        <w:rPr>
          <w:bCs/>
        </w:rPr>
        <w:tab/>
      </w:r>
      <w:r w:rsidRPr="006119E5">
        <w:rPr>
          <w:bCs/>
        </w:rPr>
        <w:t>EL 4 – Personnel Policies</w:t>
      </w:r>
    </w:p>
    <w:p w14:paraId="2183D9E3" w14:textId="74F754AC" w:rsidR="006119E5" w:rsidRPr="006119E5" w:rsidRDefault="007D18AB" w:rsidP="007D18AB">
      <w:pPr>
        <w:tabs>
          <w:tab w:val="left" w:pos="1260"/>
        </w:tabs>
        <w:rPr>
          <w:bCs/>
        </w:rPr>
      </w:pPr>
      <w:r>
        <w:rPr>
          <w:bCs/>
        </w:rPr>
        <w:tab/>
      </w:r>
      <w:r w:rsidR="006119E5" w:rsidRPr="006119E5">
        <w:rPr>
          <w:bCs/>
        </w:rPr>
        <w:t>EL 5 – Hiring and Termination of Staff</w:t>
      </w:r>
    </w:p>
    <w:p w14:paraId="37B90599" w14:textId="4F783DB9" w:rsidR="006119E5" w:rsidRDefault="007D18AB" w:rsidP="007D18AB">
      <w:pPr>
        <w:tabs>
          <w:tab w:val="left" w:pos="1260"/>
        </w:tabs>
        <w:rPr>
          <w:bCs/>
        </w:rPr>
      </w:pPr>
      <w:r>
        <w:rPr>
          <w:bCs/>
        </w:rPr>
        <w:tab/>
      </w:r>
      <w:r w:rsidR="006119E5" w:rsidRPr="006119E5">
        <w:rPr>
          <w:bCs/>
        </w:rPr>
        <w:t>EL 6 – Compensation and Benefits</w:t>
      </w:r>
    </w:p>
    <w:p w14:paraId="6F9CEEAE" w14:textId="52E4CA22" w:rsidR="006119E5" w:rsidRDefault="007D18AB" w:rsidP="007D18AB">
      <w:pPr>
        <w:tabs>
          <w:tab w:val="left" w:pos="1260"/>
        </w:tabs>
        <w:rPr>
          <w:bCs/>
        </w:rPr>
      </w:pPr>
      <w:r>
        <w:rPr>
          <w:bCs/>
        </w:rPr>
        <w:tab/>
      </w:r>
      <w:r w:rsidR="006119E5" w:rsidRPr="006119E5">
        <w:rPr>
          <w:bCs/>
        </w:rPr>
        <w:t>EL 8 – Financial Conditions and Activities</w:t>
      </w:r>
    </w:p>
    <w:p w14:paraId="764871EF" w14:textId="2E2B51B8" w:rsidR="006119E5" w:rsidRPr="00A15FCE" w:rsidRDefault="007D18AB" w:rsidP="007D18AB">
      <w:pPr>
        <w:tabs>
          <w:tab w:val="left" w:pos="1260"/>
        </w:tabs>
        <w:rPr>
          <w:bCs/>
        </w:rPr>
      </w:pPr>
      <w:r>
        <w:rPr>
          <w:bCs/>
        </w:rPr>
        <w:tab/>
      </w:r>
      <w:r w:rsidR="006119E5" w:rsidRPr="006119E5">
        <w:rPr>
          <w:bCs/>
        </w:rPr>
        <w:t>EL 11 – Communication and Support to the Board</w:t>
      </w:r>
    </w:p>
    <w:p w14:paraId="501883F7" w14:textId="77777777" w:rsidR="006119E5" w:rsidRDefault="006119E5" w:rsidP="007D18AB">
      <w:pPr>
        <w:tabs>
          <w:tab w:val="left" w:pos="1260"/>
        </w:tabs>
        <w:rPr>
          <w:b/>
        </w:rPr>
      </w:pPr>
    </w:p>
    <w:p w14:paraId="2A8B6AC0" w14:textId="5998051E" w:rsidR="007D18AB" w:rsidRPr="007D18AB" w:rsidRDefault="006119E5" w:rsidP="007D18AB">
      <w:pPr>
        <w:tabs>
          <w:tab w:val="left" w:pos="1260"/>
        </w:tabs>
        <w:rPr>
          <w:color w:val="000000"/>
          <w:szCs w:val="24"/>
        </w:rPr>
      </w:pPr>
      <w:r w:rsidRPr="00015D65">
        <w:rPr>
          <w:bCs/>
        </w:rPr>
        <w:t>December</w:t>
      </w:r>
      <w:r w:rsidR="007D18AB">
        <w:rPr>
          <w:bCs/>
        </w:rPr>
        <w:tab/>
      </w:r>
      <w:r w:rsidR="007D18AB" w:rsidRPr="007D18AB">
        <w:rPr>
          <w:color w:val="000000"/>
          <w:szCs w:val="24"/>
        </w:rPr>
        <w:t xml:space="preserve">EL 1 – Global Executive Constraint </w:t>
      </w:r>
    </w:p>
    <w:p w14:paraId="5D44EC43" w14:textId="38094337" w:rsidR="007D18AB" w:rsidRDefault="007D18AB" w:rsidP="007D18AB">
      <w:pPr>
        <w:tabs>
          <w:tab w:val="left" w:pos="1260"/>
        </w:tabs>
        <w:rPr>
          <w:color w:val="000000"/>
          <w:szCs w:val="24"/>
        </w:rPr>
      </w:pPr>
      <w:r>
        <w:rPr>
          <w:color w:val="000000"/>
          <w:szCs w:val="24"/>
        </w:rPr>
        <w:tab/>
      </w:r>
      <w:r w:rsidRPr="007D18AB">
        <w:rPr>
          <w:color w:val="000000"/>
          <w:szCs w:val="24"/>
        </w:rPr>
        <w:t>EL 2 – Relationships with the local Archdiocese and Owners</w:t>
      </w:r>
    </w:p>
    <w:p w14:paraId="019A6801" w14:textId="4EEAD1BD" w:rsidR="007D18AB" w:rsidRPr="007D18AB" w:rsidRDefault="007D18AB" w:rsidP="007D18AB">
      <w:pPr>
        <w:tabs>
          <w:tab w:val="left" w:pos="1260"/>
        </w:tabs>
        <w:rPr>
          <w:bCs/>
        </w:rPr>
      </w:pPr>
      <w:r>
        <w:rPr>
          <w:bCs/>
        </w:rPr>
        <w:tab/>
      </w:r>
      <w:r w:rsidRPr="007D18AB">
        <w:rPr>
          <w:bCs/>
        </w:rPr>
        <w:t>EL 8 – Financial Conditions and Activities</w:t>
      </w:r>
    </w:p>
    <w:p w14:paraId="1121E1B8" w14:textId="217D2DF5" w:rsidR="007D18AB" w:rsidRDefault="007D18AB" w:rsidP="007D18AB">
      <w:pPr>
        <w:tabs>
          <w:tab w:val="left" w:pos="1260"/>
        </w:tabs>
        <w:rPr>
          <w:bCs/>
        </w:rPr>
      </w:pPr>
      <w:r>
        <w:rPr>
          <w:bCs/>
        </w:rPr>
        <w:tab/>
      </w:r>
      <w:r w:rsidRPr="007D18AB">
        <w:rPr>
          <w:bCs/>
        </w:rPr>
        <w:t>EL 9 – Asset Protection</w:t>
      </w:r>
    </w:p>
    <w:p w14:paraId="6428B56D" w14:textId="5A58D1DD" w:rsidR="007D18AB" w:rsidRDefault="007D18AB" w:rsidP="007D18AB">
      <w:pPr>
        <w:tabs>
          <w:tab w:val="left" w:pos="1260"/>
        </w:tabs>
        <w:rPr>
          <w:bCs/>
        </w:rPr>
      </w:pPr>
      <w:r>
        <w:rPr>
          <w:bCs/>
        </w:rPr>
        <w:tab/>
      </w:r>
      <w:r w:rsidRPr="007D18AB">
        <w:rPr>
          <w:bCs/>
        </w:rPr>
        <w:t>EL 11 – Communication and Support to the Board</w:t>
      </w:r>
    </w:p>
    <w:p w14:paraId="0A3F6EC2" w14:textId="1C77FE87" w:rsidR="007D18AB" w:rsidRDefault="007D18AB" w:rsidP="007D18AB">
      <w:pPr>
        <w:tabs>
          <w:tab w:val="left" w:pos="1260"/>
        </w:tabs>
        <w:rPr>
          <w:bCs/>
        </w:rPr>
      </w:pPr>
    </w:p>
    <w:p w14:paraId="426C4275" w14:textId="4E3E4BEF" w:rsidR="007D18AB" w:rsidRDefault="007D18AB" w:rsidP="007D18AB">
      <w:pPr>
        <w:tabs>
          <w:tab w:val="left" w:pos="1260"/>
        </w:tabs>
        <w:rPr>
          <w:bCs/>
        </w:rPr>
      </w:pPr>
    </w:p>
    <w:p w14:paraId="46F3E9F6" w14:textId="16636FEA" w:rsidR="007D18AB" w:rsidRDefault="007D18AB" w:rsidP="007D18AB">
      <w:pPr>
        <w:tabs>
          <w:tab w:val="left" w:pos="1260"/>
        </w:tabs>
        <w:rPr>
          <w:bCs/>
        </w:rPr>
      </w:pPr>
    </w:p>
    <w:p w14:paraId="7FC92CE9" w14:textId="63CCDCBB" w:rsidR="007D18AB" w:rsidRDefault="007D18AB" w:rsidP="007D18AB">
      <w:pPr>
        <w:tabs>
          <w:tab w:val="left" w:pos="1260"/>
        </w:tabs>
        <w:rPr>
          <w:bCs/>
        </w:rPr>
      </w:pPr>
    </w:p>
    <w:p w14:paraId="453CD5F6" w14:textId="77777777" w:rsidR="007D18AB" w:rsidRDefault="007D18AB" w:rsidP="007D18AB">
      <w:pPr>
        <w:tabs>
          <w:tab w:val="left" w:pos="1260"/>
        </w:tabs>
        <w:rPr>
          <w:bCs/>
        </w:rPr>
      </w:pPr>
    </w:p>
    <w:p w14:paraId="1F094ED8" w14:textId="77777777" w:rsidR="00EF1E8C" w:rsidRDefault="00EF1E8C" w:rsidP="007D18AB">
      <w:pPr>
        <w:tabs>
          <w:tab w:val="left" w:pos="1260"/>
        </w:tabs>
        <w:rPr>
          <w:bCs/>
        </w:rPr>
      </w:pPr>
    </w:p>
    <w:p w14:paraId="3FBF48BF" w14:textId="27270576" w:rsidR="007D18AB" w:rsidRPr="007D18AB" w:rsidRDefault="006119E5" w:rsidP="007D18AB">
      <w:pPr>
        <w:tabs>
          <w:tab w:val="left" w:pos="1260"/>
        </w:tabs>
        <w:rPr>
          <w:color w:val="000000"/>
          <w:szCs w:val="24"/>
        </w:rPr>
      </w:pPr>
      <w:r w:rsidRPr="00015D65">
        <w:rPr>
          <w:bCs/>
        </w:rPr>
        <w:t>February</w:t>
      </w:r>
      <w:r w:rsidR="007D18AB">
        <w:rPr>
          <w:bCs/>
        </w:rPr>
        <w:tab/>
      </w:r>
      <w:r w:rsidR="007D18AB" w:rsidRPr="007D18AB">
        <w:rPr>
          <w:color w:val="000000"/>
          <w:szCs w:val="24"/>
        </w:rPr>
        <w:t>EL 7 – Financial Planning/Budgeting</w:t>
      </w:r>
    </w:p>
    <w:p w14:paraId="646B0787" w14:textId="2C4C820C" w:rsidR="006119E5" w:rsidRDefault="007D18AB" w:rsidP="007D18AB">
      <w:pPr>
        <w:tabs>
          <w:tab w:val="left" w:pos="1260"/>
        </w:tabs>
        <w:rPr>
          <w:color w:val="000000"/>
          <w:szCs w:val="24"/>
        </w:rPr>
      </w:pPr>
      <w:r>
        <w:rPr>
          <w:color w:val="000000"/>
          <w:szCs w:val="24"/>
        </w:rPr>
        <w:tab/>
      </w:r>
      <w:r w:rsidRPr="007D18AB">
        <w:rPr>
          <w:color w:val="000000"/>
          <w:szCs w:val="24"/>
        </w:rPr>
        <w:t>EL 8 – Financial Conditions and Activities</w:t>
      </w:r>
    </w:p>
    <w:p w14:paraId="7146B957" w14:textId="0E25BF88" w:rsidR="007D18AB" w:rsidRPr="007D18AB" w:rsidRDefault="007D18AB" w:rsidP="007D18AB">
      <w:pPr>
        <w:tabs>
          <w:tab w:val="left" w:pos="1260"/>
        </w:tabs>
        <w:rPr>
          <w:color w:val="000000"/>
          <w:szCs w:val="24"/>
        </w:rPr>
      </w:pPr>
      <w:r>
        <w:rPr>
          <w:color w:val="000000"/>
          <w:szCs w:val="24"/>
        </w:rPr>
        <w:tab/>
      </w:r>
      <w:r w:rsidRPr="007D18AB">
        <w:rPr>
          <w:color w:val="000000"/>
          <w:szCs w:val="24"/>
        </w:rPr>
        <w:t>EL 10 – Fund Raising and Development</w:t>
      </w:r>
    </w:p>
    <w:p w14:paraId="414140AE" w14:textId="59318E96" w:rsidR="007D18AB" w:rsidRPr="007D18AB" w:rsidRDefault="007D18AB" w:rsidP="007D18AB">
      <w:pPr>
        <w:tabs>
          <w:tab w:val="left" w:pos="1260"/>
        </w:tabs>
        <w:rPr>
          <w:color w:val="000000"/>
          <w:szCs w:val="24"/>
        </w:rPr>
      </w:pPr>
      <w:r>
        <w:rPr>
          <w:color w:val="000000"/>
          <w:szCs w:val="24"/>
        </w:rPr>
        <w:tab/>
      </w:r>
      <w:r w:rsidRPr="007D18AB">
        <w:rPr>
          <w:color w:val="000000"/>
          <w:szCs w:val="24"/>
        </w:rPr>
        <w:t>EL 11 – Communication and Support to the Board</w:t>
      </w:r>
    </w:p>
    <w:p w14:paraId="0198E397" w14:textId="5D37E396" w:rsidR="007D18AB" w:rsidRDefault="007D18AB" w:rsidP="007D18AB">
      <w:pPr>
        <w:tabs>
          <w:tab w:val="left" w:pos="1260"/>
        </w:tabs>
        <w:rPr>
          <w:color w:val="000000"/>
          <w:szCs w:val="24"/>
        </w:rPr>
      </w:pPr>
      <w:r>
        <w:rPr>
          <w:color w:val="000000"/>
          <w:szCs w:val="24"/>
        </w:rPr>
        <w:tab/>
      </w:r>
      <w:r w:rsidRPr="007D18AB">
        <w:rPr>
          <w:color w:val="000000"/>
          <w:szCs w:val="24"/>
        </w:rPr>
        <w:t>EL 12 – Emergency CEO Succession Draft</w:t>
      </w:r>
    </w:p>
    <w:p w14:paraId="594729C6" w14:textId="77777777" w:rsidR="007D18AB" w:rsidRDefault="007D18AB" w:rsidP="007D18AB">
      <w:pPr>
        <w:tabs>
          <w:tab w:val="left" w:pos="1260"/>
        </w:tabs>
        <w:rPr>
          <w:b/>
        </w:rPr>
      </w:pPr>
    </w:p>
    <w:p w14:paraId="372962AD" w14:textId="08661075" w:rsidR="007D18AB" w:rsidRPr="007D18AB" w:rsidRDefault="006119E5" w:rsidP="007D18AB">
      <w:pPr>
        <w:tabs>
          <w:tab w:val="left" w:pos="1260"/>
        </w:tabs>
        <w:rPr>
          <w:bCs/>
        </w:rPr>
      </w:pPr>
      <w:r w:rsidRPr="00015D65">
        <w:rPr>
          <w:bCs/>
        </w:rPr>
        <w:t>April</w:t>
      </w:r>
      <w:r w:rsidR="007D18AB">
        <w:rPr>
          <w:bCs/>
        </w:rPr>
        <w:tab/>
      </w:r>
      <w:r w:rsidR="007D18AB" w:rsidRPr="007D18AB">
        <w:rPr>
          <w:bCs/>
        </w:rPr>
        <w:t>EL 7 – Financial Planning/Budgeting</w:t>
      </w:r>
    </w:p>
    <w:p w14:paraId="49BB6448" w14:textId="4E920503" w:rsidR="007D18AB" w:rsidRPr="007D18AB" w:rsidRDefault="007D18AB" w:rsidP="007D18AB">
      <w:pPr>
        <w:tabs>
          <w:tab w:val="left" w:pos="1260"/>
        </w:tabs>
        <w:rPr>
          <w:bCs/>
        </w:rPr>
      </w:pPr>
      <w:r>
        <w:rPr>
          <w:bCs/>
        </w:rPr>
        <w:tab/>
      </w:r>
      <w:r w:rsidRPr="007D18AB">
        <w:rPr>
          <w:bCs/>
        </w:rPr>
        <w:t>EL 8 – Financial Conditions and Activities</w:t>
      </w:r>
    </w:p>
    <w:p w14:paraId="35030B67" w14:textId="52D719E2" w:rsidR="007D18AB" w:rsidRPr="007D18AB" w:rsidRDefault="007D18AB" w:rsidP="007D18AB">
      <w:pPr>
        <w:tabs>
          <w:tab w:val="left" w:pos="1260"/>
        </w:tabs>
        <w:rPr>
          <w:bCs/>
        </w:rPr>
      </w:pPr>
      <w:r>
        <w:rPr>
          <w:bCs/>
        </w:rPr>
        <w:tab/>
      </w:r>
      <w:r w:rsidRPr="007D18AB">
        <w:rPr>
          <w:bCs/>
        </w:rPr>
        <w:t>EL 9 – Asset Protection</w:t>
      </w:r>
    </w:p>
    <w:p w14:paraId="50D941D0" w14:textId="2108CC1E" w:rsidR="007D18AB" w:rsidRPr="007D18AB" w:rsidRDefault="007D18AB" w:rsidP="007D18AB">
      <w:pPr>
        <w:tabs>
          <w:tab w:val="left" w:pos="1260"/>
        </w:tabs>
        <w:rPr>
          <w:bCs/>
        </w:rPr>
      </w:pPr>
      <w:r>
        <w:rPr>
          <w:bCs/>
        </w:rPr>
        <w:tab/>
      </w:r>
      <w:r w:rsidRPr="007D18AB">
        <w:rPr>
          <w:bCs/>
        </w:rPr>
        <w:t>EL 10 – Fund Raising and Development</w:t>
      </w:r>
    </w:p>
    <w:p w14:paraId="10E2B392" w14:textId="698B6CA5" w:rsidR="006119E5" w:rsidRDefault="007D18AB" w:rsidP="007D18AB">
      <w:pPr>
        <w:tabs>
          <w:tab w:val="left" w:pos="1260"/>
        </w:tabs>
        <w:rPr>
          <w:b/>
        </w:rPr>
      </w:pPr>
      <w:r>
        <w:rPr>
          <w:bCs/>
        </w:rPr>
        <w:tab/>
      </w:r>
      <w:r w:rsidRPr="007D18AB">
        <w:rPr>
          <w:bCs/>
        </w:rPr>
        <w:t>EL 11 – Communication and Support to the Board</w:t>
      </w:r>
    </w:p>
    <w:p w14:paraId="6DD11213" w14:textId="77777777" w:rsidR="007D18AB" w:rsidRDefault="007D18AB" w:rsidP="007D18AB">
      <w:pPr>
        <w:tabs>
          <w:tab w:val="left" w:pos="1260"/>
        </w:tabs>
        <w:rPr>
          <w:bCs/>
        </w:rPr>
      </w:pPr>
    </w:p>
    <w:p w14:paraId="6E0F1C7C" w14:textId="496BCC26" w:rsidR="007D18AB" w:rsidRDefault="006119E5" w:rsidP="007D18AB">
      <w:pPr>
        <w:tabs>
          <w:tab w:val="left" w:pos="1260"/>
        </w:tabs>
        <w:rPr>
          <w:bCs/>
        </w:rPr>
      </w:pPr>
      <w:r w:rsidRPr="00015D65">
        <w:rPr>
          <w:bCs/>
        </w:rPr>
        <w:t>June</w:t>
      </w:r>
      <w:r w:rsidR="007D18AB">
        <w:rPr>
          <w:bCs/>
        </w:rPr>
        <w:tab/>
      </w:r>
      <w:r w:rsidR="007D18AB" w:rsidRPr="007D18AB">
        <w:rPr>
          <w:bCs/>
        </w:rPr>
        <w:t>EL 3 – Public Relations</w:t>
      </w:r>
    </w:p>
    <w:p w14:paraId="5963639C" w14:textId="47839A15" w:rsidR="007D18AB" w:rsidRDefault="007D18AB" w:rsidP="007D18AB">
      <w:pPr>
        <w:tabs>
          <w:tab w:val="left" w:pos="1260"/>
        </w:tabs>
        <w:rPr>
          <w:bCs/>
        </w:rPr>
      </w:pPr>
      <w:r>
        <w:rPr>
          <w:bCs/>
        </w:rPr>
        <w:tab/>
      </w:r>
      <w:r w:rsidRPr="007D18AB">
        <w:rPr>
          <w:bCs/>
        </w:rPr>
        <w:t>EL 8 – Financial Conditions and Activities</w:t>
      </w:r>
    </w:p>
    <w:p w14:paraId="5EC50EDC" w14:textId="1EBAEE06" w:rsidR="006119E5" w:rsidRPr="00A15FCE" w:rsidRDefault="007D18AB" w:rsidP="007D18AB">
      <w:pPr>
        <w:tabs>
          <w:tab w:val="left" w:pos="1260"/>
        </w:tabs>
        <w:rPr>
          <w:bCs/>
        </w:rPr>
      </w:pPr>
      <w:r>
        <w:rPr>
          <w:bCs/>
        </w:rPr>
        <w:tab/>
      </w:r>
      <w:r w:rsidRPr="007D18AB">
        <w:rPr>
          <w:bCs/>
        </w:rPr>
        <w:t>EL 11 – Communication and Support to the Board</w:t>
      </w:r>
    </w:p>
    <w:p w14:paraId="48D7E6F0" w14:textId="77777777" w:rsidR="006119E5" w:rsidRDefault="006119E5" w:rsidP="007D18AB">
      <w:pPr>
        <w:tabs>
          <w:tab w:val="left" w:pos="1260"/>
        </w:tabs>
        <w:rPr>
          <w:b/>
        </w:rPr>
        <w:sectPr w:rsidR="006119E5" w:rsidSect="007D18AB">
          <w:type w:val="continuous"/>
          <w:pgSz w:w="12240" w:h="15840"/>
          <w:pgMar w:top="1440" w:right="1440" w:bottom="1440" w:left="1440" w:header="720" w:footer="576" w:gutter="0"/>
          <w:cols w:space="720"/>
          <w:docGrid w:linePitch="360"/>
        </w:sectPr>
      </w:pPr>
    </w:p>
    <w:p w14:paraId="1DC356F0" w14:textId="77777777" w:rsidR="006119E5" w:rsidRPr="00D57B64" w:rsidRDefault="006119E5" w:rsidP="006119E5">
      <w:pPr>
        <w:rPr>
          <w:b/>
        </w:rPr>
      </w:pPr>
    </w:p>
    <w:p w14:paraId="69EAEF2E" w14:textId="20F8FD32" w:rsidR="006119E5" w:rsidRPr="00A15FCE" w:rsidRDefault="006119E5" w:rsidP="006119E5">
      <w:pPr>
        <w:rPr>
          <w:bCs/>
        </w:rPr>
      </w:pPr>
      <w:r w:rsidRPr="00A15FCE">
        <w:rPr>
          <w:bCs/>
        </w:rPr>
        <w:t xml:space="preserve">The </w:t>
      </w:r>
      <w:r w:rsidR="007D18AB">
        <w:rPr>
          <w:bCs/>
        </w:rPr>
        <w:t>Director of Mission and Ministry</w:t>
      </w:r>
      <w:r>
        <w:rPr>
          <w:bCs/>
        </w:rPr>
        <w:t xml:space="preserve"> will utilize the Board Monitoring Form (</w:t>
      </w:r>
      <w:r w:rsidR="00166D0D">
        <w:rPr>
          <w:bCs/>
        </w:rPr>
        <w:t>BOD 005)</w:t>
      </w:r>
      <w:r>
        <w:rPr>
          <w:bCs/>
        </w:rPr>
        <w:t xml:space="preserve"> and the reports will be sent to the Board Secretary for posting on the Provincial portal no less than five (5) working days prior to the scheduled board meetings.</w:t>
      </w:r>
    </w:p>
    <w:p w14:paraId="0E6C899D" w14:textId="77777777" w:rsidR="00B533BA" w:rsidRDefault="00B533BA" w:rsidP="009A37BA"/>
    <w:sectPr w:rsidR="00B533BA" w:rsidSect="00A15FCE">
      <w:type w:val="continuous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D2973" w14:textId="77777777" w:rsidR="005F73EF" w:rsidRDefault="005F73EF" w:rsidP="00163430">
      <w:r>
        <w:separator/>
      </w:r>
    </w:p>
  </w:endnote>
  <w:endnote w:type="continuationSeparator" w:id="0">
    <w:p w14:paraId="5712FB15" w14:textId="77777777" w:rsidR="005F73EF" w:rsidRDefault="005F73EF" w:rsidP="00163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654969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BD66588" w14:textId="36219514" w:rsidR="00C73BB6" w:rsidRPr="00C73BB6" w:rsidRDefault="00C73BB6" w:rsidP="00C73BB6">
            <w:pPr>
              <w:pStyle w:val="Footer"/>
              <w:jc w:val="center"/>
              <w:rPr>
                <w:szCs w:val="24"/>
              </w:rPr>
            </w:pPr>
            <w:r>
              <w:t>GP 2.</w:t>
            </w:r>
            <w:r w:rsidR="00443569">
              <w:t>5</w:t>
            </w:r>
            <w:r>
              <w:t xml:space="preserve"> </w:t>
            </w:r>
            <w:r w:rsidR="00140D29">
              <w:t xml:space="preserve">Monitoring </w:t>
            </w:r>
            <w:r w:rsidRPr="00C73BB6">
              <w:t xml:space="preserve">Board </w:t>
            </w:r>
            <w:r w:rsidR="00140D29">
              <w:t>Performance Procedure</w:t>
            </w:r>
            <w:r w:rsidRPr="00C73BB6">
              <w:t xml:space="preserve">                 </w:t>
            </w:r>
            <w:r>
              <w:t xml:space="preserve">      </w:t>
            </w:r>
            <w:r w:rsidRPr="00C73BB6">
              <w:t xml:space="preserve">                                   Page </w:t>
            </w:r>
            <w:r w:rsidR="00140D29">
              <w:rPr>
                <w:szCs w:val="24"/>
              </w:rPr>
              <w:t>1</w:t>
            </w:r>
            <w:r w:rsidRPr="00C73BB6">
              <w:t xml:space="preserve"> of </w:t>
            </w:r>
            <w:r w:rsidR="00EF1E8C">
              <w:t>2</w:t>
            </w:r>
            <w:r w:rsidRPr="00C73BB6">
              <w:rPr>
                <w:szCs w:val="24"/>
              </w:rPr>
              <w:t xml:space="preserve">  </w:t>
            </w:r>
          </w:p>
          <w:p w14:paraId="1E8C2C7E" w14:textId="75D8246D" w:rsidR="00C73BB6" w:rsidRDefault="00C73BB6" w:rsidP="00DC6652">
            <w:pPr>
              <w:pStyle w:val="Footer"/>
              <w:tabs>
                <w:tab w:val="clear" w:pos="4680"/>
              </w:tabs>
            </w:pPr>
            <w:r w:rsidRPr="00C73BB6">
              <w:rPr>
                <w:szCs w:val="24"/>
              </w:rPr>
              <w:t>Created: 20</w:t>
            </w:r>
            <w:r w:rsidR="00DC6652">
              <w:rPr>
                <w:szCs w:val="24"/>
              </w:rPr>
              <w:t>22</w:t>
            </w:r>
            <w:r w:rsidRPr="00C73BB6">
              <w:rPr>
                <w:szCs w:val="24"/>
              </w:rPr>
              <w:t>-</w:t>
            </w:r>
            <w:r w:rsidR="00DC6652">
              <w:rPr>
                <w:szCs w:val="24"/>
              </w:rPr>
              <w:t>12</w:t>
            </w:r>
            <w:r w:rsidRPr="00C73BB6">
              <w:rPr>
                <w:szCs w:val="24"/>
              </w:rPr>
              <w:t>-2</w:t>
            </w:r>
            <w:r w:rsidR="00DC6652">
              <w:rPr>
                <w:szCs w:val="24"/>
              </w:rPr>
              <w:t>8</w:t>
            </w:r>
            <w:r w:rsidR="00166D0D">
              <w:rPr>
                <w:szCs w:val="24"/>
              </w:rPr>
              <w:t xml:space="preserve">           </w:t>
            </w:r>
            <w:r w:rsidRPr="00C73BB6">
              <w:rPr>
                <w:szCs w:val="24"/>
              </w:rPr>
              <w:t xml:space="preserve">  </w:t>
            </w:r>
            <w:r w:rsidR="00DC6652">
              <w:rPr>
                <w:szCs w:val="24"/>
              </w:rPr>
              <w:t xml:space="preserve"> </w:t>
            </w:r>
            <w:r w:rsidR="00C6070D">
              <w:rPr>
                <w:szCs w:val="24"/>
              </w:rPr>
              <w:t xml:space="preserve">                                                                           Revised:</w:t>
            </w:r>
            <w:r w:rsidR="00166D0D">
              <w:rPr>
                <w:szCs w:val="24"/>
              </w:rPr>
              <w:t xml:space="preserve"> 2023-06-28</w:t>
            </w:r>
            <w:r w:rsidRPr="00C73BB6">
              <w:rPr>
                <w:szCs w:val="24"/>
              </w:rPr>
              <w:t xml:space="preserve">                                                      </w:t>
            </w:r>
            <w:r>
              <w:rPr>
                <w:szCs w:val="24"/>
              </w:rPr>
              <w:t xml:space="preserve">          </w:t>
            </w:r>
            <w:r w:rsidRPr="00C73BB6">
              <w:rPr>
                <w:szCs w:val="24"/>
              </w:rPr>
              <w:t xml:space="preserve">            </w:t>
            </w:r>
          </w:p>
        </w:sdtContent>
      </w:sdt>
    </w:sdtContent>
  </w:sdt>
  <w:p w14:paraId="44D814B2" w14:textId="7AE782A7" w:rsidR="0029321E" w:rsidRDefault="0029321E" w:rsidP="001A64CE">
    <w:pPr>
      <w:pStyle w:val="Footer"/>
      <w:tabs>
        <w:tab w:val="clear" w:pos="4680"/>
        <w:tab w:val="left" w:pos="72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2465764"/>
      <w:docPartObj>
        <w:docPartGallery w:val="Page Numbers (Bottom of Page)"/>
        <w:docPartUnique/>
      </w:docPartObj>
    </w:sdtPr>
    <w:sdtContent>
      <w:sdt>
        <w:sdtPr>
          <w:id w:val="-1859424445"/>
          <w:docPartObj>
            <w:docPartGallery w:val="Page Numbers (Top of Page)"/>
            <w:docPartUnique/>
          </w:docPartObj>
        </w:sdtPr>
        <w:sdtContent>
          <w:p w14:paraId="7FC29FBF" w14:textId="509874EE" w:rsidR="006119E5" w:rsidRPr="00C73BB6" w:rsidRDefault="006119E5" w:rsidP="00C73BB6">
            <w:pPr>
              <w:pStyle w:val="Footer"/>
              <w:jc w:val="center"/>
              <w:rPr>
                <w:szCs w:val="24"/>
              </w:rPr>
            </w:pPr>
            <w:r>
              <w:t xml:space="preserve">GP 2.3 Monitoring </w:t>
            </w:r>
            <w:r w:rsidRPr="00C73BB6">
              <w:t xml:space="preserve">Board </w:t>
            </w:r>
            <w:r>
              <w:t>Performance Procedure</w:t>
            </w:r>
            <w:r w:rsidRPr="00C73BB6">
              <w:t xml:space="preserve">                 </w:t>
            </w:r>
            <w:r>
              <w:t xml:space="preserve">      </w:t>
            </w:r>
            <w:r w:rsidRPr="00C73BB6">
              <w:t xml:space="preserve">                                   Page </w:t>
            </w:r>
            <w:r w:rsidR="00EF1E8C">
              <w:t>2</w:t>
            </w:r>
            <w:r w:rsidRPr="00C73BB6">
              <w:t xml:space="preserve"> of </w:t>
            </w:r>
            <w:r w:rsidR="00EF1E8C">
              <w:t>2</w:t>
            </w:r>
            <w:r w:rsidRPr="00C73BB6">
              <w:rPr>
                <w:szCs w:val="24"/>
              </w:rPr>
              <w:t xml:space="preserve">  </w:t>
            </w:r>
          </w:p>
          <w:p w14:paraId="68775D0B" w14:textId="77777777" w:rsidR="006119E5" w:rsidRDefault="006119E5" w:rsidP="00DC6652">
            <w:pPr>
              <w:pStyle w:val="Footer"/>
              <w:tabs>
                <w:tab w:val="clear" w:pos="4680"/>
              </w:tabs>
            </w:pPr>
            <w:r w:rsidRPr="00C73BB6">
              <w:rPr>
                <w:szCs w:val="24"/>
              </w:rPr>
              <w:t>Created: 20</w:t>
            </w:r>
            <w:r>
              <w:rPr>
                <w:szCs w:val="24"/>
              </w:rPr>
              <w:t>22</w:t>
            </w:r>
            <w:r w:rsidRPr="00C73BB6">
              <w:rPr>
                <w:szCs w:val="24"/>
              </w:rPr>
              <w:t>-</w:t>
            </w:r>
            <w:r>
              <w:rPr>
                <w:szCs w:val="24"/>
              </w:rPr>
              <w:t>12</w:t>
            </w:r>
            <w:r w:rsidRPr="00C73BB6">
              <w:rPr>
                <w:szCs w:val="24"/>
              </w:rPr>
              <w:t>-2</w:t>
            </w:r>
            <w:r>
              <w:rPr>
                <w:szCs w:val="24"/>
              </w:rPr>
              <w:t>8</w:t>
            </w:r>
            <w:r w:rsidRPr="00C73BB6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      </w:t>
            </w:r>
            <w:r w:rsidRPr="00C73BB6">
              <w:rPr>
                <w:szCs w:val="24"/>
              </w:rPr>
              <w:t xml:space="preserve">                                                             </w:t>
            </w:r>
            <w:r>
              <w:rPr>
                <w:szCs w:val="24"/>
              </w:rPr>
              <w:t xml:space="preserve">          </w:t>
            </w:r>
            <w:r w:rsidRPr="00C73BB6">
              <w:rPr>
                <w:szCs w:val="24"/>
              </w:rPr>
              <w:t xml:space="preserve">            </w:t>
            </w:r>
          </w:p>
        </w:sdtContent>
      </w:sdt>
    </w:sdtContent>
  </w:sdt>
  <w:p w14:paraId="4639562C" w14:textId="77777777" w:rsidR="006119E5" w:rsidRDefault="006119E5" w:rsidP="001A64CE">
    <w:pPr>
      <w:pStyle w:val="Footer"/>
      <w:tabs>
        <w:tab w:val="clear" w:pos="4680"/>
        <w:tab w:val="left" w:pos="72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ED25" w14:textId="77777777" w:rsidR="005F73EF" w:rsidRDefault="005F73EF" w:rsidP="00163430">
      <w:r>
        <w:separator/>
      </w:r>
    </w:p>
  </w:footnote>
  <w:footnote w:type="continuationSeparator" w:id="0">
    <w:p w14:paraId="49CA1C96" w14:textId="77777777" w:rsidR="005F73EF" w:rsidRDefault="005F73EF" w:rsidP="00163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4329" w14:textId="6A38FDDB" w:rsidR="00163430" w:rsidRDefault="00163430" w:rsidP="00163430">
    <w:pPr>
      <w:pStyle w:val="Header"/>
      <w:tabs>
        <w:tab w:val="clear" w:pos="4680"/>
      </w:tabs>
      <w:ind w:left="1080"/>
      <w:jc w:val="center"/>
      <w:rPr>
        <w:b/>
        <w:bCs/>
        <w:sz w:val="44"/>
        <w:szCs w:val="44"/>
      </w:rPr>
    </w:pPr>
    <w:r>
      <w:rPr>
        <w:rFonts w:ascii="Arial" w:hAnsi="Arial"/>
        <w:noProof/>
      </w:rPr>
      <w:drawing>
        <wp:anchor distT="0" distB="0" distL="114300" distR="114300" simplePos="0" relativeHeight="251658240" behindDoc="0" locked="0" layoutInCell="0" allowOverlap="1" wp14:anchorId="057EFA0F" wp14:editId="598621E3">
          <wp:simplePos x="0" y="0"/>
          <wp:positionH relativeFrom="column">
            <wp:posOffset>-104775</wp:posOffset>
          </wp:positionH>
          <wp:positionV relativeFrom="paragraph">
            <wp:posOffset>-221615</wp:posOffset>
          </wp:positionV>
          <wp:extent cx="836930" cy="889635"/>
          <wp:effectExtent l="0" t="0" r="0" b="0"/>
          <wp:wrapSquare wrapText="bothSides"/>
          <wp:docPr id="1" name="Picture 1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7D84">
      <w:rPr>
        <w:b/>
        <w:bCs/>
        <w:sz w:val="44"/>
        <w:szCs w:val="44"/>
      </w:rPr>
      <w:t>St. Paul of the Cross Retreat</w:t>
    </w:r>
  </w:p>
  <w:p w14:paraId="0D15083F" w14:textId="276FA290" w:rsidR="00163430" w:rsidRDefault="00163430" w:rsidP="00163430">
    <w:pPr>
      <w:pStyle w:val="Header"/>
      <w:tabs>
        <w:tab w:val="clear" w:pos="4680"/>
        <w:tab w:val="clear" w:pos="9360"/>
      </w:tabs>
      <w:ind w:left="1440"/>
      <w:jc w:val="center"/>
    </w:pPr>
    <w:r>
      <w:rPr>
        <w:b/>
        <w:bCs/>
        <w:sz w:val="44"/>
        <w:szCs w:val="44"/>
      </w:rPr>
      <w:t xml:space="preserve">And Conference </w:t>
    </w:r>
    <w:r w:rsidRPr="00EB7D84">
      <w:rPr>
        <w:b/>
        <w:bCs/>
        <w:sz w:val="44"/>
        <w:szCs w:val="44"/>
      </w:rPr>
      <w:t>Center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EEF3F" w14:textId="77777777" w:rsidR="006119E5" w:rsidRDefault="006119E5" w:rsidP="00163430">
    <w:pPr>
      <w:pStyle w:val="Header"/>
      <w:tabs>
        <w:tab w:val="clear" w:pos="4680"/>
      </w:tabs>
      <w:ind w:left="1080"/>
      <w:jc w:val="center"/>
      <w:rPr>
        <w:b/>
        <w:bCs/>
        <w:sz w:val="44"/>
        <w:szCs w:val="44"/>
      </w:rPr>
    </w:pPr>
    <w:r>
      <w:rPr>
        <w:rFonts w:ascii="Arial" w:hAnsi="Arial"/>
        <w:noProof/>
      </w:rPr>
      <w:drawing>
        <wp:anchor distT="0" distB="0" distL="114300" distR="114300" simplePos="0" relativeHeight="251660288" behindDoc="0" locked="0" layoutInCell="0" allowOverlap="1" wp14:anchorId="76345B6F" wp14:editId="51A49BDF">
          <wp:simplePos x="0" y="0"/>
          <wp:positionH relativeFrom="column">
            <wp:posOffset>-104775</wp:posOffset>
          </wp:positionH>
          <wp:positionV relativeFrom="paragraph">
            <wp:posOffset>-221615</wp:posOffset>
          </wp:positionV>
          <wp:extent cx="836930" cy="889635"/>
          <wp:effectExtent l="0" t="0" r="0" b="0"/>
          <wp:wrapSquare wrapText="bothSides"/>
          <wp:docPr id="2" name="Picture 2" descr="Logo,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88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7D84">
      <w:rPr>
        <w:b/>
        <w:bCs/>
        <w:sz w:val="44"/>
        <w:szCs w:val="44"/>
      </w:rPr>
      <w:t>St. Paul of the Cross Retreat</w:t>
    </w:r>
  </w:p>
  <w:p w14:paraId="0D2D2E4A" w14:textId="77777777" w:rsidR="006119E5" w:rsidRDefault="006119E5" w:rsidP="00163430">
    <w:pPr>
      <w:pStyle w:val="Header"/>
      <w:tabs>
        <w:tab w:val="clear" w:pos="4680"/>
        <w:tab w:val="clear" w:pos="9360"/>
      </w:tabs>
      <w:ind w:left="1440"/>
      <w:jc w:val="center"/>
    </w:pPr>
    <w:r>
      <w:rPr>
        <w:b/>
        <w:bCs/>
        <w:sz w:val="44"/>
        <w:szCs w:val="44"/>
      </w:rPr>
      <w:t xml:space="preserve">And Conference </w:t>
    </w:r>
    <w:r w:rsidRPr="00EB7D84">
      <w:rPr>
        <w:b/>
        <w:bCs/>
        <w:sz w:val="44"/>
        <w:szCs w:val="44"/>
      </w:rPr>
      <w:t>Center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792"/>
    <w:multiLevelType w:val="hybridMultilevel"/>
    <w:tmpl w:val="B1CEBA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4D59F4"/>
    <w:multiLevelType w:val="hybridMultilevel"/>
    <w:tmpl w:val="59A80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A220C"/>
    <w:multiLevelType w:val="hybridMultilevel"/>
    <w:tmpl w:val="CF0EDB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C7F61"/>
    <w:multiLevelType w:val="hybridMultilevel"/>
    <w:tmpl w:val="DB4696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3774C"/>
    <w:multiLevelType w:val="multilevel"/>
    <w:tmpl w:val="F29E5858"/>
    <w:lvl w:ilvl="0">
      <w:start w:val="1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color w:val="FF6600"/>
        <w:sz w:val="24"/>
        <w:szCs w:val="24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FF660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6600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17F94EF7"/>
    <w:multiLevelType w:val="hybridMultilevel"/>
    <w:tmpl w:val="3FEC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D19D5"/>
    <w:multiLevelType w:val="hybridMultilevel"/>
    <w:tmpl w:val="5F86301C"/>
    <w:lvl w:ilvl="0" w:tplc="81BA6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F46501"/>
    <w:multiLevelType w:val="hybridMultilevel"/>
    <w:tmpl w:val="673A8806"/>
    <w:lvl w:ilvl="0" w:tplc="C2B086CE">
      <w:start w:val="1"/>
      <w:numFmt w:val="bullet"/>
      <w:lvlText w:val=""/>
      <w:lvlJc w:val="left"/>
      <w:pPr>
        <w:ind w:left="480" w:hanging="360"/>
      </w:pPr>
      <w:rPr>
        <w:rFonts w:ascii="Wingdings" w:eastAsia="Wingdings" w:hAnsi="Wingdings" w:cs="Wingdings" w:hint="default"/>
        <w:w w:val="99"/>
        <w:sz w:val="24"/>
        <w:szCs w:val="24"/>
      </w:rPr>
    </w:lvl>
    <w:lvl w:ilvl="1" w:tplc="31725F2C">
      <w:start w:val="1"/>
      <w:numFmt w:val="bullet"/>
      <w:lvlText w:val="•"/>
      <w:lvlJc w:val="left"/>
      <w:pPr>
        <w:ind w:left="1392" w:hanging="360"/>
      </w:pPr>
      <w:rPr>
        <w:rFonts w:hint="default"/>
      </w:rPr>
    </w:lvl>
    <w:lvl w:ilvl="2" w:tplc="B650C8C2">
      <w:start w:val="1"/>
      <w:numFmt w:val="bullet"/>
      <w:lvlText w:val="•"/>
      <w:lvlJc w:val="left"/>
      <w:pPr>
        <w:ind w:left="2304" w:hanging="360"/>
      </w:pPr>
      <w:rPr>
        <w:rFonts w:hint="default"/>
      </w:rPr>
    </w:lvl>
    <w:lvl w:ilvl="3" w:tplc="5FE89FAE">
      <w:start w:val="1"/>
      <w:numFmt w:val="bullet"/>
      <w:lvlText w:val="•"/>
      <w:lvlJc w:val="left"/>
      <w:pPr>
        <w:ind w:left="3216" w:hanging="360"/>
      </w:pPr>
      <w:rPr>
        <w:rFonts w:hint="default"/>
      </w:rPr>
    </w:lvl>
    <w:lvl w:ilvl="4" w:tplc="7854996E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 w:tplc="BF0010E2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6" w:tplc="2C2C22F8">
      <w:start w:val="1"/>
      <w:numFmt w:val="bullet"/>
      <w:lvlText w:val="•"/>
      <w:lvlJc w:val="left"/>
      <w:pPr>
        <w:ind w:left="5952" w:hanging="360"/>
      </w:pPr>
      <w:rPr>
        <w:rFonts w:hint="default"/>
      </w:rPr>
    </w:lvl>
    <w:lvl w:ilvl="7" w:tplc="067E4F4C">
      <w:start w:val="1"/>
      <w:numFmt w:val="bullet"/>
      <w:lvlText w:val="•"/>
      <w:lvlJc w:val="left"/>
      <w:pPr>
        <w:ind w:left="6864" w:hanging="360"/>
      </w:pPr>
      <w:rPr>
        <w:rFonts w:hint="default"/>
      </w:rPr>
    </w:lvl>
    <w:lvl w:ilvl="8" w:tplc="66124C54">
      <w:start w:val="1"/>
      <w:numFmt w:val="bullet"/>
      <w:lvlText w:val="•"/>
      <w:lvlJc w:val="left"/>
      <w:pPr>
        <w:ind w:left="7776" w:hanging="360"/>
      </w:pPr>
      <w:rPr>
        <w:rFonts w:hint="default"/>
      </w:rPr>
    </w:lvl>
  </w:abstractNum>
  <w:abstractNum w:abstractNumId="8" w15:restartNumberingAfterBreak="0">
    <w:nsid w:val="1B2043CA"/>
    <w:multiLevelType w:val="hybridMultilevel"/>
    <w:tmpl w:val="AC5CCEA2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B07EED"/>
    <w:multiLevelType w:val="hybridMultilevel"/>
    <w:tmpl w:val="314A378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D82418"/>
    <w:multiLevelType w:val="hybridMultilevel"/>
    <w:tmpl w:val="F5B0FF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107395"/>
    <w:multiLevelType w:val="hybridMultilevel"/>
    <w:tmpl w:val="BB5C45F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EE550F"/>
    <w:multiLevelType w:val="hybridMultilevel"/>
    <w:tmpl w:val="956E061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8E5555"/>
    <w:multiLevelType w:val="hybridMultilevel"/>
    <w:tmpl w:val="6CD82B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D7869"/>
    <w:multiLevelType w:val="hybridMultilevel"/>
    <w:tmpl w:val="0B04DD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662F7B"/>
    <w:multiLevelType w:val="hybridMultilevel"/>
    <w:tmpl w:val="64CE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CD7948"/>
    <w:multiLevelType w:val="hybridMultilevel"/>
    <w:tmpl w:val="1BB2C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043E1"/>
    <w:multiLevelType w:val="hybridMultilevel"/>
    <w:tmpl w:val="4A08A2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017F5A"/>
    <w:multiLevelType w:val="hybridMultilevel"/>
    <w:tmpl w:val="CF462E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A506C"/>
    <w:multiLevelType w:val="hybridMultilevel"/>
    <w:tmpl w:val="3502F792"/>
    <w:lvl w:ilvl="0" w:tplc="3DD0C65C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18930385">
    <w:abstractNumId w:val="16"/>
  </w:num>
  <w:num w:numId="2" w16cid:durableId="777725577">
    <w:abstractNumId w:val="7"/>
  </w:num>
  <w:num w:numId="3" w16cid:durableId="1350370758">
    <w:abstractNumId w:val="1"/>
  </w:num>
  <w:num w:numId="4" w16cid:durableId="1639677226">
    <w:abstractNumId w:val="5"/>
  </w:num>
  <w:num w:numId="5" w16cid:durableId="1879776699">
    <w:abstractNumId w:val="4"/>
  </w:num>
  <w:num w:numId="6" w16cid:durableId="187180150">
    <w:abstractNumId w:val="15"/>
  </w:num>
  <w:num w:numId="7" w16cid:durableId="1487741259">
    <w:abstractNumId w:val="17"/>
  </w:num>
  <w:num w:numId="8" w16cid:durableId="1719083522">
    <w:abstractNumId w:val="0"/>
  </w:num>
  <w:num w:numId="9" w16cid:durableId="1750926502">
    <w:abstractNumId w:val="9"/>
  </w:num>
  <w:num w:numId="10" w16cid:durableId="36056375">
    <w:abstractNumId w:val="11"/>
  </w:num>
  <w:num w:numId="11" w16cid:durableId="1079786062">
    <w:abstractNumId w:val="19"/>
  </w:num>
  <w:num w:numId="12" w16cid:durableId="2061981094">
    <w:abstractNumId w:val="3"/>
  </w:num>
  <w:num w:numId="13" w16cid:durableId="371999145">
    <w:abstractNumId w:val="6"/>
  </w:num>
  <w:num w:numId="14" w16cid:durableId="776415241">
    <w:abstractNumId w:val="18"/>
  </w:num>
  <w:num w:numId="15" w16cid:durableId="491336868">
    <w:abstractNumId w:val="14"/>
  </w:num>
  <w:num w:numId="16" w16cid:durableId="631404485">
    <w:abstractNumId w:val="10"/>
  </w:num>
  <w:num w:numId="17" w16cid:durableId="507333979">
    <w:abstractNumId w:val="2"/>
  </w:num>
  <w:num w:numId="18" w16cid:durableId="1862083338">
    <w:abstractNumId w:val="13"/>
  </w:num>
  <w:num w:numId="19" w16cid:durableId="1727794833">
    <w:abstractNumId w:val="12"/>
  </w:num>
  <w:num w:numId="20" w16cid:durableId="20515660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575"/>
    <w:rsid w:val="000862B1"/>
    <w:rsid w:val="0009650A"/>
    <w:rsid w:val="000A7B92"/>
    <w:rsid w:val="000C4FC0"/>
    <w:rsid w:val="000F53EE"/>
    <w:rsid w:val="00102E26"/>
    <w:rsid w:val="00140D29"/>
    <w:rsid w:val="00143533"/>
    <w:rsid w:val="00152266"/>
    <w:rsid w:val="00163430"/>
    <w:rsid w:val="00166D0D"/>
    <w:rsid w:val="001A5CAF"/>
    <w:rsid w:val="001A64CE"/>
    <w:rsid w:val="001E301C"/>
    <w:rsid w:val="001F4D08"/>
    <w:rsid w:val="001F6DFB"/>
    <w:rsid w:val="00230F14"/>
    <w:rsid w:val="0029321E"/>
    <w:rsid w:val="003A5494"/>
    <w:rsid w:val="003F59DC"/>
    <w:rsid w:val="00401E08"/>
    <w:rsid w:val="00443569"/>
    <w:rsid w:val="00447E78"/>
    <w:rsid w:val="00473950"/>
    <w:rsid w:val="004B07D0"/>
    <w:rsid w:val="004E6DF1"/>
    <w:rsid w:val="005069EE"/>
    <w:rsid w:val="0051467D"/>
    <w:rsid w:val="005E5703"/>
    <w:rsid w:val="005F73EF"/>
    <w:rsid w:val="00606A5E"/>
    <w:rsid w:val="006119E5"/>
    <w:rsid w:val="00692181"/>
    <w:rsid w:val="006F0D62"/>
    <w:rsid w:val="0077455D"/>
    <w:rsid w:val="007D18AB"/>
    <w:rsid w:val="00830BF0"/>
    <w:rsid w:val="00840CBB"/>
    <w:rsid w:val="00891C3E"/>
    <w:rsid w:val="009529AA"/>
    <w:rsid w:val="009A37BA"/>
    <w:rsid w:val="009C277A"/>
    <w:rsid w:val="00A15FCE"/>
    <w:rsid w:val="00AA6551"/>
    <w:rsid w:val="00B12D49"/>
    <w:rsid w:val="00B533BA"/>
    <w:rsid w:val="00BB5930"/>
    <w:rsid w:val="00BD437C"/>
    <w:rsid w:val="00C6070D"/>
    <w:rsid w:val="00C73BB6"/>
    <w:rsid w:val="00C80636"/>
    <w:rsid w:val="00CA17C4"/>
    <w:rsid w:val="00D57B64"/>
    <w:rsid w:val="00D60FCD"/>
    <w:rsid w:val="00DC6652"/>
    <w:rsid w:val="00E33FBC"/>
    <w:rsid w:val="00EE1575"/>
    <w:rsid w:val="00EE484C"/>
    <w:rsid w:val="00EF1E8C"/>
    <w:rsid w:val="00F55B72"/>
    <w:rsid w:val="00F75914"/>
    <w:rsid w:val="00FB3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DD4F48"/>
  <w15:docId w15:val="{4797A94C-71E3-4B89-851B-07EBC2A37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7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FC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D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D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634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63430"/>
  </w:style>
  <w:style w:type="paragraph" w:styleId="Footer">
    <w:name w:val="footer"/>
    <w:basedOn w:val="Normal"/>
    <w:link w:val="FooterChar"/>
    <w:uiPriority w:val="99"/>
    <w:unhideWhenUsed/>
    <w:rsid w:val="001634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3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Jim McKelvey</dc:creator>
  <cp:lastModifiedBy>Jim McKelvey</cp:lastModifiedBy>
  <cp:revision>6</cp:revision>
  <cp:lastPrinted>2023-01-15T16:31:00Z</cp:lastPrinted>
  <dcterms:created xsi:type="dcterms:W3CDTF">2023-01-10T18:31:00Z</dcterms:created>
  <dcterms:modified xsi:type="dcterms:W3CDTF">2023-06-28T09:45:00Z</dcterms:modified>
</cp:coreProperties>
</file>